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BC" w:rsidRDefault="00D82E59">
      <w:pPr>
        <w:pStyle w:val="30"/>
        <w:framePr w:w="3970" w:h="1669" w:hRule="exact" w:wrap="none" w:vAnchor="page" w:hAnchor="page" w:x="1590" w:y="1101"/>
        <w:shd w:val="clear" w:color="auto" w:fill="auto"/>
      </w:pPr>
      <w:r>
        <w:t>АДМИНИСТРАЦИЯ СЕЛЬСКОГО ПОСЕЛЕНИЯ СУМОН АРЫГ-УЗЮНСКИЙ УЛУГ-ХЕМСКОГО КОЖУУНА РЕСПУБЛИКИ ТЫВА</w:t>
      </w:r>
    </w:p>
    <w:p w:rsidR="004E53BC" w:rsidRDefault="00D82E59">
      <w:pPr>
        <w:pStyle w:val="30"/>
        <w:framePr w:w="3422" w:h="1353" w:hRule="exact" w:wrap="none" w:vAnchor="page" w:hAnchor="page" w:x="7460" w:y="1106"/>
        <w:shd w:val="clear" w:color="auto" w:fill="auto"/>
      </w:pPr>
      <w:r>
        <w:t>ТЫВА РЕСПУБЛИКАНЫН УЛУГ-ХЕМ КОЖУУННУН КОДЭЭ ЧУРТТАКЧЫЛЫТ АРЫГ-УЗЮ СУМУ</w:t>
      </w:r>
    </w:p>
    <w:p w:rsidR="004E53BC" w:rsidRDefault="00D82E59">
      <w:pPr>
        <w:pStyle w:val="30"/>
        <w:framePr w:wrap="none" w:vAnchor="page" w:hAnchor="page" w:x="8242" w:y="2446"/>
        <w:shd w:val="clear" w:color="auto" w:fill="auto"/>
        <w:spacing w:line="260" w:lineRule="exact"/>
      </w:pPr>
      <w:r>
        <w:t>ЧАГЫРГ АЗЫ</w:t>
      </w:r>
    </w:p>
    <w:p w:rsidR="004E53BC" w:rsidRDefault="00D82E59">
      <w:pPr>
        <w:pStyle w:val="40"/>
        <w:framePr w:wrap="none" w:vAnchor="page" w:hAnchor="page" w:x="2103" w:y="3058"/>
        <w:shd w:val="clear" w:color="auto" w:fill="auto"/>
        <w:spacing w:line="180" w:lineRule="exact"/>
      </w:pPr>
      <w:r>
        <w:t>668214, Республика Тыва, Улуг-Хемский район, с. Арыг-Узю, ул., Кочетова, дом 26, такс. 8(394-36) 2-30-04</w:t>
      </w:r>
    </w:p>
    <w:p w:rsidR="004E53BC" w:rsidRDefault="00D82E59">
      <w:pPr>
        <w:pStyle w:val="10"/>
        <w:framePr w:w="4512" w:h="1806" w:hRule="exact" w:wrap="none" w:vAnchor="page" w:hAnchor="page" w:x="4042" w:y="3504"/>
        <w:shd w:val="clear" w:color="auto" w:fill="auto"/>
        <w:spacing w:after="0" w:line="240" w:lineRule="exact"/>
      </w:pPr>
      <w:bookmarkStart w:id="0" w:name="bookmark0"/>
      <w:r>
        <w:t>ПОСТАНОВЛЕНИЕ</w:t>
      </w:r>
      <w:bookmarkEnd w:id="0"/>
    </w:p>
    <w:p w:rsidR="004E53BC" w:rsidRDefault="00D82E59">
      <w:pPr>
        <w:pStyle w:val="20"/>
        <w:framePr w:w="4512" w:h="1806" w:hRule="exact" w:wrap="none" w:vAnchor="page" w:hAnchor="page" w:x="4042" w:y="3504"/>
        <w:shd w:val="clear" w:color="auto" w:fill="auto"/>
        <w:spacing w:before="0" w:after="248" w:line="240" w:lineRule="exact"/>
        <w:ind w:firstLine="0"/>
      </w:pPr>
      <w:r>
        <w:t>администрации сумона Арыг-Узюнский</w:t>
      </w:r>
    </w:p>
    <w:p w:rsidR="004E53BC" w:rsidRDefault="00D82E59">
      <w:pPr>
        <w:pStyle w:val="20"/>
        <w:framePr w:w="4512" w:h="1806" w:hRule="exact" w:wrap="none" w:vAnchor="page" w:hAnchor="page" w:x="4042" w:y="3504"/>
        <w:shd w:val="clear" w:color="auto" w:fill="auto"/>
        <w:spacing w:before="0" w:after="0" w:line="302" w:lineRule="exact"/>
        <w:ind w:firstLine="0"/>
        <w:jc w:val="center"/>
      </w:pPr>
      <w:r>
        <w:t>Арыг-Узуу суму чагыргазынын</w:t>
      </w:r>
    </w:p>
    <w:p w:rsidR="004E53BC" w:rsidRDefault="00D82E59">
      <w:pPr>
        <w:pStyle w:val="10"/>
        <w:framePr w:w="4512" w:h="1806" w:hRule="exact" w:wrap="none" w:vAnchor="page" w:hAnchor="page" w:x="4042" w:y="3504"/>
        <w:shd w:val="clear" w:color="auto" w:fill="auto"/>
        <w:spacing w:after="0" w:line="302" w:lineRule="exact"/>
      </w:pPr>
      <w:bookmarkStart w:id="1" w:name="bookmark1"/>
      <w:r>
        <w:t>ДОКТААЛЫ</w:t>
      </w:r>
      <w:bookmarkEnd w:id="1"/>
    </w:p>
    <w:p w:rsidR="004E53BC" w:rsidRDefault="00D82E59">
      <w:pPr>
        <w:pStyle w:val="20"/>
        <w:framePr w:w="4512" w:h="1806" w:hRule="exact" w:wrap="none" w:vAnchor="page" w:hAnchor="page" w:x="4042" w:y="3504"/>
        <w:shd w:val="clear" w:color="auto" w:fill="auto"/>
        <w:spacing w:before="0" w:after="0" w:line="302" w:lineRule="exact"/>
        <w:ind w:firstLine="0"/>
        <w:jc w:val="center"/>
      </w:pPr>
      <w:r>
        <w:t>от «26» декабря 2022 г. №38</w:t>
      </w:r>
    </w:p>
    <w:p w:rsidR="004E53BC" w:rsidRDefault="00D82E59">
      <w:pPr>
        <w:pStyle w:val="50"/>
        <w:framePr w:w="9403" w:h="1709" w:hRule="exact" w:wrap="none" w:vAnchor="page" w:hAnchor="page" w:x="1594" w:y="5536"/>
        <w:shd w:val="clear" w:color="auto" w:fill="auto"/>
      </w:pPr>
      <w:r>
        <w:t>О бюджете сельского поселения сумон Арыг-Узюнский муниципального</w:t>
      </w:r>
      <w:r>
        <w:br/>
        <w:t>района «Улуг-Хемский кожуун Республики Тыва» на 2023 год</w:t>
      </w:r>
      <w:r>
        <w:br/>
        <w:t>и на плановый период 2024 и 2025 годов.</w:t>
      </w:r>
    </w:p>
    <w:p w:rsidR="004E53BC" w:rsidRDefault="00D82E59">
      <w:pPr>
        <w:pStyle w:val="20"/>
        <w:framePr w:w="9403" w:h="1709" w:hRule="exact" w:wrap="none" w:vAnchor="page" w:hAnchor="page" w:x="1594" w:y="5536"/>
        <w:shd w:val="clear" w:color="auto" w:fill="auto"/>
        <w:spacing w:before="0" w:after="0" w:line="274" w:lineRule="exact"/>
        <w:ind w:firstLine="0"/>
      </w:pPr>
      <w:r>
        <w:t>1. Утвердить основные характеристики бюджета сельского поселения сумон Арыг- Узюнский муниципального района «Улуг-Хемский кожуун Республики Тыва» (далее - сумон Арыг-Узюнский) на 2023 год:</w:t>
      </w:r>
    </w:p>
    <w:p w:rsidR="004E53BC" w:rsidRDefault="00D82E59">
      <w:pPr>
        <w:pStyle w:val="20"/>
        <w:framePr w:w="8280" w:h="1435" w:hRule="exact" w:wrap="none" w:vAnchor="page" w:hAnchor="page" w:x="2550" w:y="7192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0" w:line="274" w:lineRule="exact"/>
        <w:ind w:left="300" w:hanging="300"/>
      </w:pPr>
      <w:r>
        <w:t>общий объем доходов бюджета сумона Арыг-Узюнский в сумме 5445,50 тыс. рублей;</w:t>
      </w:r>
    </w:p>
    <w:p w:rsidR="004E53BC" w:rsidRDefault="00D82E59">
      <w:pPr>
        <w:pStyle w:val="20"/>
        <w:framePr w:w="8280" w:h="1435" w:hRule="exact" w:wrap="none" w:vAnchor="page" w:hAnchor="page" w:x="2550" w:y="7192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74" w:lineRule="exact"/>
        <w:ind w:left="300" w:hanging="300"/>
      </w:pPr>
      <w:r>
        <w:t>общий объем расходов бюджета сумона Арыг-Узюнский в сумме 5445,50 тыс. рублей;</w:t>
      </w:r>
    </w:p>
    <w:p w:rsidR="004E53BC" w:rsidRDefault="00D82E59">
      <w:pPr>
        <w:pStyle w:val="20"/>
        <w:framePr w:w="8280" w:h="1435" w:hRule="exact" w:wrap="none" w:vAnchor="page" w:hAnchor="page" w:x="2550" w:y="719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74" w:lineRule="exact"/>
        <w:ind w:firstLine="0"/>
        <w:jc w:val="both"/>
      </w:pPr>
      <w:r>
        <w:t>дефицит бюджета сумона Арыг-Узюнский в сумме 0 тыс. рублей.</w:t>
      </w:r>
    </w:p>
    <w:p w:rsidR="004E53BC" w:rsidRDefault="00D82E59">
      <w:pPr>
        <w:pStyle w:val="20"/>
        <w:framePr w:w="8957" w:h="620" w:hRule="exact" w:wrap="none" w:vAnchor="page" w:hAnchor="page" w:x="1599" w:y="8570"/>
        <w:shd w:val="clear" w:color="auto" w:fill="auto"/>
        <w:spacing w:before="0" w:after="0" w:line="278" w:lineRule="exact"/>
        <w:ind w:firstLine="0"/>
        <w:jc w:val="both"/>
      </w:pPr>
      <w:r>
        <w:t>2. Утвердить основные характеристики бюджета сумона Арыг-Узюнский на плановый период 2024 и на 2025 годов:</w:t>
      </w:r>
    </w:p>
    <w:p w:rsidR="004E53BC" w:rsidRDefault="00D82E59">
      <w:pPr>
        <w:pStyle w:val="20"/>
        <w:framePr w:w="8309" w:h="1997" w:hRule="exact" w:wrap="none" w:vAnchor="page" w:hAnchor="page" w:x="2559" w:y="9126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0" w:line="274" w:lineRule="exact"/>
        <w:ind w:left="280" w:hanging="280"/>
      </w:pPr>
      <w:r>
        <w:t>прогнозируемый общий объем доходов бюджета сумона Арыг-Узюнский на 2024 год в сумме 5641,70 тыс. рублей, на 2025 год в сумме 5488,70 тыс. рублей;</w:t>
      </w:r>
    </w:p>
    <w:p w:rsidR="004E53BC" w:rsidRDefault="00D82E59">
      <w:pPr>
        <w:pStyle w:val="20"/>
        <w:framePr w:w="8309" w:h="1997" w:hRule="exact" w:wrap="none" w:vAnchor="page" w:hAnchor="page" w:x="2559" w:y="9126"/>
        <w:numPr>
          <w:ilvl w:val="0"/>
          <w:numId w:val="2"/>
        </w:numPr>
        <w:shd w:val="clear" w:color="auto" w:fill="auto"/>
        <w:tabs>
          <w:tab w:val="left" w:pos="259"/>
        </w:tabs>
        <w:spacing w:before="0" w:after="0" w:line="274" w:lineRule="exact"/>
        <w:ind w:left="280" w:hanging="280"/>
      </w:pPr>
      <w:r>
        <w:t>общий объем расходов бюджета сумона Арыг-Узюнский на 2024 год в сумме 5641,70 тыс. рублей, на 2025 год в сумме 5488,70 тыс. рублей;</w:t>
      </w:r>
    </w:p>
    <w:p w:rsidR="004E53BC" w:rsidRDefault="00D82E59">
      <w:pPr>
        <w:pStyle w:val="20"/>
        <w:framePr w:w="8309" w:h="1997" w:hRule="exact" w:wrap="none" w:vAnchor="page" w:hAnchor="page" w:x="2559" w:y="9126"/>
        <w:numPr>
          <w:ilvl w:val="0"/>
          <w:numId w:val="2"/>
        </w:numPr>
        <w:shd w:val="clear" w:color="auto" w:fill="auto"/>
        <w:tabs>
          <w:tab w:val="left" w:pos="254"/>
        </w:tabs>
        <w:spacing w:before="0" w:after="0" w:line="274" w:lineRule="exact"/>
        <w:ind w:left="280" w:hanging="280"/>
      </w:pPr>
      <w:r>
        <w:t>прогнозируемый дефицит местного бюджета сумона Арыг-Узюнский на 2024 год в сумме 0 тыс. рублей и на 2025 год в сумме 0 тыс. рублей.</w:t>
      </w:r>
    </w:p>
    <w:p w:rsidR="004E53BC" w:rsidRDefault="00D82E59">
      <w:pPr>
        <w:pStyle w:val="20"/>
        <w:framePr w:w="8726" w:h="615" w:hRule="exact" w:wrap="none" w:vAnchor="page" w:hAnchor="page" w:x="1604" w:y="11059"/>
        <w:shd w:val="clear" w:color="auto" w:fill="auto"/>
        <w:spacing w:before="0" w:after="0" w:line="283" w:lineRule="exact"/>
        <w:ind w:firstLine="0"/>
        <w:jc w:val="both"/>
      </w:pPr>
      <w:r>
        <w:t>3. Утвердить перечень источников внутреннего финансирования дефицита бюджета сумон Арыг-Узюнский:</w:t>
      </w:r>
    </w:p>
    <w:p w:rsidR="004E53BC" w:rsidRDefault="00D82E59">
      <w:pPr>
        <w:pStyle w:val="20"/>
        <w:framePr w:w="7555" w:h="576" w:hRule="exact" w:wrap="none" w:vAnchor="page" w:hAnchor="page" w:x="2598" w:y="11644"/>
        <w:numPr>
          <w:ilvl w:val="0"/>
          <w:numId w:val="3"/>
        </w:numPr>
        <w:shd w:val="clear" w:color="auto" w:fill="auto"/>
        <w:tabs>
          <w:tab w:val="left" w:pos="235"/>
        </w:tabs>
        <w:spacing w:before="0" w:after="0" w:line="240" w:lineRule="exact"/>
        <w:ind w:firstLine="0"/>
        <w:jc w:val="both"/>
      </w:pPr>
      <w:r>
        <w:t>на 2023 год согласно приложению 1 к настоящему Решению;</w:t>
      </w:r>
    </w:p>
    <w:p w:rsidR="004E53BC" w:rsidRDefault="00D82E59">
      <w:pPr>
        <w:pStyle w:val="20"/>
        <w:framePr w:w="7555" w:h="576" w:hRule="exact" w:wrap="none" w:vAnchor="page" w:hAnchor="page" w:x="2598" w:y="11644"/>
        <w:numPr>
          <w:ilvl w:val="0"/>
          <w:numId w:val="3"/>
        </w:numPr>
        <w:shd w:val="clear" w:color="auto" w:fill="auto"/>
        <w:tabs>
          <w:tab w:val="left" w:pos="259"/>
        </w:tabs>
        <w:spacing w:before="0" w:after="0" w:line="240" w:lineRule="exact"/>
        <w:ind w:firstLine="0"/>
        <w:jc w:val="both"/>
      </w:pPr>
      <w:r>
        <w:t>на 2024 и 2025 годов согласно приложению 2 к настоящему Решению;</w:t>
      </w:r>
    </w:p>
    <w:p w:rsidR="004E53BC" w:rsidRDefault="00D82E59">
      <w:pPr>
        <w:pStyle w:val="20"/>
        <w:framePr w:wrap="none" w:vAnchor="page" w:hAnchor="page" w:x="1609" w:y="12192"/>
        <w:shd w:val="clear" w:color="auto" w:fill="auto"/>
        <w:spacing w:before="0" w:after="0" w:line="240" w:lineRule="exact"/>
        <w:ind w:firstLine="0"/>
      </w:pPr>
      <w:r>
        <w:t>4. Утвердить нормативы отчислений доходов в бюджет сумона Арыг-Узюнский:</w:t>
      </w:r>
    </w:p>
    <w:p w:rsidR="004E53BC" w:rsidRDefault="00D82E59">
      <w:pPr>
        <w:pStyle w:val="20"/>
        <w:framePr w:w="7550" w:h="581" w:hRule="exact" w:wrap="none" w:vAnchor="page" w:hAnchor="page" w:x="2602" w:y="12470"/>
        <w:numPr>
          <w:ilvl w:val="0"/>
          <w:numId w:val="4"/>
        </w:numPr>
        <w:shd w:val="clear" w:color="auto" w:fill="auto"/>
        <w:tabs>
          <w:tab w:val="left" w:pos="235"/>
        </w:tabs>
        <w:spacing w:before="0" w:after="0" w:line="240" w:lineRule="exact"/>
        <w:ind w:firstLine="0"/>
        <w:jc w:val="both"/>
      </w:pPr>
      <w:r>
        <w:t>на 2023 год согласно приложению 3 к настоящему Решению;</w:t>
      </w:r>
    </w:p>
    <w:p w:rsidR="004E53BC" w:rsidRDefault="00D82E59">
      <w:pPr>
        <w:pStyle w:val="20"/>
        <w:framePr w:w="7550" w:h="581" w:hRule="exact" w:wrap="none" w:vAnchor="page" w:hAnchor="page" w:x="2602" w:y="12470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0" w:line="240" w:lineRule="exact"/>
        <w:ind w:firstLine="0"/>
        <w:jc w:val="both"/>
      </w:pPr>
      <w:r>
        <w:t>на 2024 и 2025 годов согласно приложению 4 к настоящему Решению;</w:t>
      </w:r>
    </w:p>
    <w:p w:rsidR="004E53BC" w:rsidRDefault="00D82E59">
      <w:pPr>
        <w:pStyle w:val="20"/>
        <w:framePr w:w="8510" w:h="621" w:hRule="exact" w:wrap="none" w:vAnchor="page" w:hAnchor="page" w:x="1618" w:y="12991"/>
        <w:shd w:val="clear" w:color="auto" w:fill="auto"/>
        <w:spacing w:before="0" w:after="0" w:line="278" w:lineRule="exact"/>
        <w:ind w:firstLine="0"/>
        <w:jc w:val="both"/>
      </w:pPr>
      <w:r>
        <w:t>5. Утвердить поступления доходов в бюджет сумона Арыг-Узюнский, в том числе безвозмездные поступления, получаемые из республиканского бюджета:</w:t>
      </w:r>
    </w:p>
    <w:p w:rsidR="004E53BC" w:rsidRDefault="00D82E59">
      <w:pPr>
        <w:pStyle w:val="20"/>
        <w:framePr w:w="7613" w:h="581" w:hRule="exact" w:wrap="none" w:vAnchor="page" w:hAnchor="page" w:x="2607" w:y="13584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40" w:lineRule="exact"/>
        <w:ind w:firstLine="0"/>
        <w:jc w:val="both"/>
      </w:pPr>
      <w:r>
        <w:t>на 2023 год согласно приложению 5 к настоящему Решению;</w:t>
      </w:r>
    </w:p>
    <w:p w:rsidR="004E53BC" w:rsidRDefault="00D82E59">
      <w:pPr>
        <w:pStyle w:val="20"/>
        <w:framePr w:w="7613" w:h="581" w:hRule="exact" w:wrap="none" w:vAnchor="page" w:hAnchor="page" w:x="2607" w:y="13584"/>
        <w:numPr>
          <w:ilvl w:val="0"/>
          <w:numId w:val="5"/>
        </w:numPr>
        <w:shd w:val="clear" w:color="auto" w:fill="auto"/>
        <w:tabs>
          <w:tab w:val="left" w:pos="322"/>
        </w:tabs>
        <w:spacing w:before="0" w:after="0" w:line="240" w:lineRule="exact"/>
        <w:ind w:firstLine="0"/>
        <w:jc w:val="both"/>
      </w:pPr>
      <w:r>
        <w:t>на 2024 и 2025 годов согласно приложению 6 к настоящему Решению;</w:t>
      </w:r>
    </w:p>
    <w:p w:rsidR="004E53BC" w:rsidRDefault="00D82E59">
      <w:pPr>
        <w:pStyle w:val="20"/>
        <w:framePr w:wrap="none" w:vAnchor="page" w:hAnchor="page" w:x="1618" w:y="14136"/>
        <w:shd w:val="clear" w:color="auto" w:fill="auto"/>
        <w:spacing w:before="0" w:after="0" w:line="240" w:lineRule="exact"/>
        <w:ind w:firstLine="0"/>
      </w:pPr>
      <w:r>
        <w:t>6. Утвердить ведомственную структуру расходов бюджета сумона Арыг-Узюнский:</w:t>
      </w:r>
    </w:p>
    <w:p w:rsidR="004E53BC" w:rsidRDefault="00D82E59">
      <w:pPr>
        <w:pStyle w:val="20"/>
        <w:framePr w:w="7555" w:h="585" w:hRule="exact" w:wrap="none" w:vAnchor="page" w:hAnchor="page" w:x="2607" w:y="14414"/>
        <w:numPr>
          <w:ilvl w:val="0"/>
          <w:numId w:val="6"/>
        </w:numPr>
        <w:shd w:val="clear" w:color="auto" w:fill="auto"/>
        <w:tabs>
          <w:tab w:val="left" w:pos="235"/>
        </w:tabs>
        <w:spacing w:before="0" w:after="0" w:line="240" w:lineRule="exact"/>
        <w:ind w:firstLine="0"/>
        <w:jc w:val="both"/>
      </w:pPr>
      <w:r>
        <w:t>на 2023 год согласно приложению 7 к настоящему Решению;</w:t>
      </w:r>
    </w:p>
    <w:p w:rsidR="004E53BC" w:rsidRDefault="00D82E59">
      <w:pPr>
        <w:pStyle w:val="20"/>
        <w:framePr w:w="7555" w:h="585" w:hRule="exact" w:wrap="none" w:vAnchor="page" w:hAnchor="page" w:x="2607" w:y="14414"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240" w:lineRule="exact"/>
        <w:ind w:firstLine="0"/>
        <w:jc w:val="both"/>
      </w:pPr>
      <w:r>
        <w:t>на 2024 и 2025 годов согласно приложению 8 к настоящему Решению;</w:t>
      </w:r>
    </w:p>
    <w:p w:rsidR="004E53BC" w:rsidRDefault="004E53BC">
      <w:pPr>
        <w:rPr>
          <w:sz w:val="2"/>
          <w:szCs w:val="2"/>
        </w:rPr>
        <w:sectPr w:rsidR="004E53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0" w:line="274" w:lineRule="exact"/>
        <w:ind w:firstLine="0"/>
        <w:jc w:val="both"/>
      </w:pPr>
      <w:r>
        <w:lastRenderedPageBreak/>
        <w:t>Утвердить распределение бюджетных ассигнований по разделам и подразделам, целевым</w:t>
      </w:r>
      <w:r>
        <w:br/>
        <w:t>статьям и группам видов расходов бюджета сумона Арыг-Узюнский: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8"/>
        </w:numPr>
        <w:shd w:val="clear" w:color="auto" w:fill="auto"/>
        <w:tabs>
          <w:tab w:val="left" w:pos="1298"/>
        </w:tabs>
        <w:spacing w:before="0" w:after="0" w:line="274" w:lineRule="exact"/>
        <w:ind w:left="1000" w:firstLine="0"/>
        <w:jc w:val="both"/>
      </w:pPr>
      <w:r>
        <w:t>на 2023 год согласно приложению 9 к настоящему Решению;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8"/>
        </w:numPr>
        <w:shd w:val="clear" w:color="auto" w:fill="auto"/>
        <w:tabs>
          <w:tab w:val="left" w:pos="1322"/>
        </w:tabs>
        <w:spacing w:before="0" w:after="0" w:line="274" w:lineRule="exact"/>
        <w:ind w:left="1000" w:firstLine="0"/>
        <w:jc w:val="both"/>
      </w:pPr>
      <w:r>
        <w:t>на 2024 и 2025 годов согласно приложению 10 к настоящему Решению;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7"/>
        </w:numPr>
        <w:shd w:val="clear" w:color="auto" w:fill="auto"/>
        <w:tabs>
          <w:tab w:val="left" w:pos="491"/>
        </w:tabs>
        <w:spacing w:before="0" w:after="0" w:line="274" w:lineRule="exact"/>
        <w:ind w:firstLine="0"/>
        <w:jc w:val="both"/>
      </w:pPr>
      <w:r>
        <w:t>Утвердить распределение бюджетных ассигнований по целевым статьям</w:t>
      </w:r>
      <w:r>
        <w:br/>
        <w:t>(муниципальным программам), группам видов расходов, разделам, подразделам</w:t>
      </w:r>
      <w:r>
        <w:br/>
        <w:t>классификации расходов бюджета сумона Арыг-Узюнский: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9"/>
        </w:numPr>
        <w:shd w:val="clear" w:color="auto" w:fill="auto"/>
        <w:tabs>
          <w:tab w:val="left" w:pos="1303"/>
        </w:tabs>
        <w:spacing w:before="0" w:after="0" w:line="274" w:lineRule="exact"/>
        <w:ind w:left="1000" w:firstLine="0"/>
        <w:jc w:val="both"/>
      </w:pPr>
      <w:r>
        <w:t>на 2023 год согласно приложению 11 к настоящему Решению;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9"/>
        </w:numPr>
        <w:shd w:val="clear" w:color="auto" w:fill="auto"/>
        <w:tabs>
          <w:tab w:val="left" w:pos="1322"/>
        </w:tabs>
        <w:spacing w:before="0" w:after="0" w:line="274" w:lineRule="exact"/>
        <w:ind w:left="1000" w:firstLine="0"/>
        <w:jc w:val="both"/>
      </w:pPr>
      <w:r>
        <w:t>на 2024 и 2025 годов согласно приложению 12 к настоящему Решению;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7"/>
        </w:numPr>
        <w:shd w:val="clear" w:color="auto" w:fill="auto"/>
        <w:tabs>
          <w:tab w:val="left" w:pos="838"/>
        </w:tabs>
        <w:spacing w:before="0" w:after="0" w:line="274" w:lineRule="exact"/>
        <w:ind w:firstLine="0"/>
        <w:jc w:val="both"/>
      </w:pPr>
      <w:r>
        <w:t>Администрация сумона Арыг-Узюнский не вправе принимать постановление/</w:t>
      </w:r>
      <w:r>
        <w:br/>
        <w:t>приводящие к увеличению численности муниципальных служащих сумона Арыг-</w:t>
      </w:r>
      <w:r>
        <w:br/>
        <w:t>Узюнский и работников учреждений и организаций бюджетной сферы;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7"/>
        </w:numPr>
        <w:shd w:val="clear" w:color="auto" w:fill="auto"/>
        <w:tabs>
          <w:tab w:val="left" w:pos="491"/>
        </w:tabs>
        <w:spacing w:before="0" w:after="0" w:line="274" w:lineRule="exact"/>
        <w:ind w:firstLine="0"/>
        <w:jc w:val="both"/>
      </w:pPr>
      <w:r>
        <w:t>В случае если неиспользованный остаток межбюджетных трансфертов, полученных в</w:t>
      </w:r>
      <w:r>
        <w:br/>
        <w:t>форме субвенций и иных межбюджетных трансфертов, не перечислен в доход бюджета</w:t>
      </w:r>
      <w:r>
        <w:br/>
        <w:t>Улуг-Хемского кожууна, указанные средства подлежат взысканию в доход бюджета в</w:t>
      </w:r>
      <w:r>
        <w:br/>
        <w:t>порядке, определяемом Финансовым управлением администрации Улуг-Хемского кожууна</w:t>
      </w:r>
      <w:r>
        <w:br/>
        <w:t>с соблюдением общих требований, установленных Министерством финансов Республики</w:t>
      </w:r>
      <w:r>
        <w:br/>
        <w:t>Тыва.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7"/>
        </w:numPr>
        <w:shd w:val="clear" w:color="auto" w:fill="auto"/>
        <w:tabs>
          <w:tab w:val="left" w:pos="385"/>
        </w:tabs>
        <w:spacing w:before="0" w:after="0" w:line="274" w:lineRule="exact"/>
        <w:ind w:firstLine="0"/>
        <w:jc w:val="both"/>
      </w:pPr>
      <w:r>
        <w:t>Казначейское сопровождение осуществляется в отношении следующих средств: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10"/>
        </w:numPr>
        <w:shd w:val="clear" w:color="auto" w:fill="auto"/>
        <w:tabs>
          <w:tab w:val="left" w:pos="908"/>
        </w:tabs>
        <w:spacing w:before="0" w:after="0" w:line="274" w:lineRule="exact"/>
        <w:ind w:firstLine="740"/>
        <w:jc w:val="both"/>
      </w:pPr>
      <w:r>
        <w:t>получаемых на основании муниципальных контрактов, договоров (соглашений),</w:t>
      </w:r>
      <w:r>
        <w:br/>
        <w:t>контрактов (договоров), источником финансового обеспечения исполнения которых</w:t>
      </w:r>
      <w:r>
        <w:br/>
        <w:t>являются средства, предоставляемые из бюджета сельского поселения сумон Арыг-</w:t>
      </w:r>
      <w:r>
        <w:br/>
        <w:t>Узюнский, к которым не могут быть отнесены авансы и расчеты, по муниципальным</w:t>
      </w:r>
      <w:r>
        <w:br/>
        <w:t>контрактам, заключаемым на сумму менее 50 миллионов рублей;</w:t>
      </w:r>
    </w:p>
    <w:p w:rsidR="004E53BC" w:rsidRDefault="00D82E59">
      <w:pPr>
        <w:pStyle w:val="20"/>
        <w:framePr w:w="9427" w:h="12506" w:hRule="exact" w:wrap="none" w:vAnchor="page" w:hAnchor="page" w:x="1702" w:y="1129"/>
        <w:numPr>
          <w:ilvl w:val="0"/>
          <w:numId w:val="10"/>
        </w:numPr>
        <w:shd w:val="clear" w:color="auto" w:fill="auto"/>
        <w:tabs>
          <w:tab w:val="left" w:pos="908"/>
        </w:tabs>
        <w:spacing w:before="0" w:after="0" w:line="274" w:lineRule="exact"/>
        <w:ind w:firstLine="740"/>
        <w:jc w:val="both"/>
      </w:pPr>
      <w:r>
        <w:t>получаемых (полученных) участниками казначейского сопровождения, в случаях,</w:t>
      </w:r>
      <w:r>
        <w:br/>
        <w:t>установленных федеральными законами, решениями Правительства Российской</w:t>
      </w:r>
      <w:r>
        <w:br/>
        <w:t>Федерации (включая средства, указанные в абзаце четвертом подпункта 1 статьи 242.27</w:t>
      </w:r>
      <w:r>
        <w:br/>
        <w:t>Бюджетного кодекса Российской Федерации).</w:t>
      </w:r>
    </w:p>
    <w:p w:rsidR="004E53BC" w:rsidRDefault="00D82E59">
      <w:pPr>
        <w:pStyle w:val="20"/>
        <w:framePr w:w="9427" w:h="12506" w:hRule="exact" w:wrap="none" w:vAnchor="page" w:hAnchor="page" w:x="1702" w:y="1129"/>
        <w:shd w:val="clear" w:color="auto" w:fill="auto"/>
        <w:spacing w:before="0" w:after="0" w:line="274" w:lineRule="exact"/>
        <w:ind w:firstLine="740"/>
        <w:jc w:val="both"/>
      </w:pPr>
      <w:r>
        <w:t>Казначейское сопровождение осуществляется в порядке, установленном</w:t>
      </w:r>
      <w:r>
        <w:br/>
        <w:t>нормативным правовым актом Администрации сельского поселения сумон Арыг-</w:t>
      </w:r>
      <w:r>
        <w:br/>
        <w:t>Узюнский муниципального района «Улуг-Хемский кожуун Республики Тыва» в</w:t>
      </w:r>
      <w:r>
        <w:br/>
        <w:t>соответствии с общими требованиями, установленными Правительством Российской</w:t>
      </w:r>
      <w:r>
        <w:br/>
        <w:t>Федерации, содержащими в том числе положения, предусмотренные пунктом 3 статьи</w:t>
      </w:r>
      <w:r>
        <w:br/>
        <w:t>242.23 Бюджетного кодекса Российской Федерации, а также требования к порядку</w:t>
      </w:r>
      <w:r>
        <w:br/>
        <w:t>санкционирования операций со средствами участников казначейского сопровождения,</w:t>
      </w:r>
      <w:r>
        <w:br/>
        <w:t>устанавливаемому Финансовым управлением администрации муниципального района</w:t>
      </w:r>
      <w:r>
        <w:br/>
        <w:t>«Улуг-Хемский кожуун Республики Тыва».</w:t>
      </w:r>
    </w:p>
    <w:p w:rsidR="004E53BC" w:rsidRDefault="00D82E59">
      <w:pPr>
        <w:pStyle w:val="60"/>
        <w:framePr w:w="9427" w:h="12506" w:hRule="exact" w:wrap="none" w:vAnchor="page" w:hAnchor="page" w:x="1702" w:y="1129"/>
        <w:numPr>
          <w:ilvl w:val="0"/>
          <w:numId w:val="7"/>
        </w:numPr>
        <w:shd w:val="clear" w:color="auto" w:fill="auto"/>
        <w:tabs>
          <w:tab w:val="left" w:pos="491"/>
        </w:tabs>
        <w:spacing w:after="0"/>
      </w:pPr>
      <w:r>
        <w:t>Направить бюджет сельского поселения сумон Арыг-Узюнский за 2023 год и на плановый</w:t>
      </w:r>
      <w:r>
        <w:br/>
        <w:t>период 2024-2025 гг в Хурал представителей сельского поселения для утверждения и</w:t>
      </w:r>
      <w:r>
        <w:br/>
      </w:r>
      <w:r>
        <w:rPr>
          <w:rStyle w:val="612pt"/>
        </w:rPr>
        <w:t>опубликовать данное Постановление в средствах массовой информации или обнародовать</w:t>
      </w:r>
    </w:p>
    <w:p w:rsidR="004E53BC" w:rsidRDefault="00D82E59">
      <w:pPr>
        <w:pStyle w:val="60"/>
        <w:framePr w:w="9427" w:h="12506" w:hRule="exact" w:wrap="none" w:vAnchor="page" w:hAnchor="page" w:x="1702" w:y="1129"/>
        <w:shd w:val="clear" w:color="auto" w:fill="auto"/>
        <w:tabs>
          <w:tab w:val="left" w:pos="491"/>
        </w:tabs>
        <w:ind w:right="6427"/>
      </w:pPr>
      <w:r>
        <w:rPr>
          <w:rStyle w:val="612pt"/>
        </w:rPr>
        <w:t>в установленном порядке.</w:t>
      </w:r>
    </w:p>
    <w:p w:rsidR="004E53BC" w:rsidRDefault="00D82E59">
      <w:pPr>
        <w:pStyle w:val="20"/>
        <w:framePr w:w="9427" w:h="12506" w:hRule="exact" w:wrap="none" w:vAnchor="page" w:hAnchor="page" w:x="1702" w:y="1129"/>
        <w:shd w:val="clear" w:color="auto" w:fill="auto"/>
        <w:spacing w:before="0" w:after="0" w:line="278" w:lineRule="exact"/>
        <w:ind w:left="580" w:firstLine="420"/>
      </w:pPr>
      <w:r>
        <w:t>Председатель</w:t>
      </w:r>
      <w:r>
        <w:br/>
        <w:t>администрации сумона</w:t>
      </w:r>
    </w:p>
    <w:p w:rsidR="004E53BC" w:rsidRDefault="00D82E59">
      <w:pPr>
        <w:framePr w:wrap="none" w:vAnchor="page" w:hAnchor="page" w:x="4846" w:y="12369"/>
        <w:rPr>
          <w:sz w:val="2"/>
          <w:szCs w:val="2"/>
        </w:rPr>
      </w:pPr>
      <w:r>
        <w:fldChar w:fldCharType="begin"/>
      </w:r>
      <w:r>
        <w:instrText xml:space="preserve"> INCLUDEPICTURE  "C:\\Users\\-634C~1\\AppData\\Local\\Temp\\FineReader12.00\\media\\image1.jpeg" \* MERGEFORMATINET </w:instrText>
      </w:r>
      <w:r>
        <w:fldChar w:fldCharType="separate"/>
      </w:r>
      <w:r w:rsidR="00F05011">
        <w:fldChar w:fldCharType="begin"/>
      </w:r>
      <w:r w:rsidR="00F05011">
        <w:instrText xml:space="preserve"> </w:instrText>
      </w:r>
      <w:r w:rsidR="00F05011">
        <w:instrText>INCLUDEPICTURE  "C:\\Users\\-634C~1\\AppData\\Local\\Temp\\FineReader12.00\\media\\image1.jpeg" \* MERGEFORMATINET</w:instrText>
      </w:r>
      <w:r w:rsidR="00F05011">
        <w:instrText xml:space="preserve"> </w:instrText>
      </w:r>
      <w:r w:rsidR="00F05011">
        <w:fldChar w:fldCharType="separate"/>
      </w:r>
      <w:r w:rsidR="00F050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14.75pt">
            <v:imagedata r:id="rId8" r:href="rId9"/>
          </v:shape>
        </w:pict>
      </w:r>
      <w:r w:rsidR="00F05011">
        <w:fldChar w:fldCharType="end"/>
      </w:r>
      <w:r>
        <w:fldChar w:fldCharType="end"/>
      </w:r>
    </w:p>
    <w:p w:rsidR="004E53BC" w:rsidRDefault="004E53BC">
      <w:pPr>
        <w:rPr>
          <w:sz w:val="2"/>
          <w:szCs w:val="2"/>
        </w:rPr>
        <w:sectPr w:rsidR="004E53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4E53BC" w:rsidRDefault="004E53BC">
      <w:pPr>
        <w:rPr>
          <w:sz w:val="2"/>
          <w:szCs w:val="2"/>
        </w:rPr>
      </w:pPr>
    </w:p>
    <w:p w:rsidR="004E53BC" w:rsidRDefault="004E53BC">
      <w:pPr>
        <w:rPr>
          <w:sz w:val="2"/>
          <w:szCs w:val="2"/>
        </w:rPr>
      </w:pPr>
    </w:p>
    <w:sectPr w:rsidR="004E53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11" w:rsidRDefault="00F05011">
      <w:r>
        <w:separator/>
      </w:r>
    </w:p>
  </w:endnote>
  <w:endnote w:type="continuationSeparator" w:id="0">
    <w:p w:rsidR="00F05011" w:rsidRDefault="00F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11" w:rsidRDefault="00F05011"/>
  </w:footnote>
  <w:footnote w:type="continuationSeparator" w:id="0">
    <w:p w:rsidR="00F05011" w:rsidRDefault="00F05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721"/>
    <w:multiLevelType w:val="multilevel"/>
    <w:tmpl w:val="2408D1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A1003"/>
    <w:multiLevelType w:val="multilevel"/>
    <w:tmpl w:val="DA78E0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41929"/>
    <w:multiLevelType w:val="multilevel"/>
    <w:tmpl w:val="F190A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757D1"/>
    <w:multiLevelType w:val="multilevel"/>
    <w:tmpl w:val="79A2A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D7E15"/>
    <w:multiLevelType w:val="multilevel"/>
    <w:tmpl w:val="7FA2F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74B18"/>
    <w:multiLevelType w:val="multilevel"/>
    <w:tmpl w:val="371E0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97222"/>
    <w:multiLevelType w:val="multilevel"/>
    <w:tmpl w:val="AE686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61832"/>
    <w:multiLevelType w:val="multilevel"/>
    <w:tmpl w:val="E7683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B44337"/>
    <w:multiLevelType w:val="multilevel"/>
    <w:tmpl w:val="A02A0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2A3A59"/>
    <w:multiLevelType w:val="multilevel"/>
    <w:tmpl w:val="64160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C04FEA"/>
    <w:multiLevelType w:val="multilevel"/>
    <w:tmpl w:val="391C3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53BC"/>
    <w:rsid w:val="000563C8"/>
    <w:rsid w:val="004E53BC"/>
    <w:rsid w:val="008B7FE4"/>
    <w:rsid w:val="00D82E59"/>
    <w:rsid w:val="00F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09AFF-12D9-4368-8BC8-3D73EF29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2pt">
    <w:name w:val="Основной текст (6) + 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TimesNewRoman13pt">
    <w:name w:val="Основной текст (8) + Times New Roman;13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orbel" w:eastAsia="Corbel" w:hAnsi="Corbel" w:cs="Corbe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12pt">
    <w:name w:val="Колонтитул + Times New Roman;12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150"/>
      <w:sz w:val="18"/>
      <w:szCs w:val="18"/>
      <w:u w:val="none"/>
      <w:lang w:val="en-US" w:eastAsia="en-US" w:bidi="en-US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50"/>
      <w:position w:val="0"/>
      <w:sz w:val="18"/>
      <w:szCs w:val="1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w w:val="15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-634C~1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F88C-599A-48A6-96A3-B27E3093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Сисадмин</cp:lastModifiedBy>
  <cp:revision>2</cp:revision>
  <dcterms:created xsi:type="dcterms:W3CDTF">2023-01-19T02:45:00Z</dcterms:created>
  <dcterms:modified xsi:type="dcterms:W3CDTF">2023-01-19T03:17:00Z</dcterms:modified>
</cp:coreProperties>
</file>