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B7" w:rsidRPr="00C50ECF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7520B7" w:rsidRPr="00C50ECF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отчету об исполнении   кожуунного бюджета  </w:t>
      </w:r>
    </w:p>
    <w:p w:rsidR="007520B7" w:rsidRPr="00C50ECF" w:rsidRDefault="007520B7" w:rsidP="007520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7520B7" w:rsidRDefault="007520B7" w:rsidP="007520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3 квартал 2023 года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20B7" w:rsidRPr="000A705F" w:rsidRDefault="007520B7" w:rsidP="007520B7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7520B7" w:rsidRPr="000A705F" w:rsidTr="00DE5B3A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3 кварт</w:t>
            </w:r>
            <w:r w:rsidR="008007DC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ал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3 квартал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A47F03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квартал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2023</w:t>
            </w:r>
          </w:p>
        </w:tc>
      </w:tr>
      <w:tr w:rsidR="007520B7" w:rsidRPr="000A705F" w:rsidTr="00DE5B3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A47F03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7520B7" w:rsidRPr="000A705F" w:rsidTr="00DE5B3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8D25BD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1 165 657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1 193 235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200ACC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1 414 706</w:t>
            </w:r>
          </w:p>
        </w:tc>
      </w:tr>
      <w:tr w:rsidR="007520B7" w:rsidRPr="000A705F" w:rsidTr="00DE5B3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B7" w:rsidRPr="00006A6A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86274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92665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B7" w:rsidRPr="00A47F03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104498</w:t>
            </w:r>
          </w:p>
        </w:tc>
      </w:tr>
      <w:tr w:rsidR="007520B7" w:rsidRPr="000A705F" w:rsidTr="00DE5B3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1 02</w:t>
            </w:r>
            <w:r w:rsidR="0020378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203782">
              <w:rPr>
                <w:rFonts w:ascii="Times New Roman" w:hAnsi="Times New Roman" w:cs="Times New Roman"/>
                <w:i/>
                <w:sz w:val="20"/>
                <w:szCs w:val="20"/>
              </w:rPr>
              <w:t>266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1 10</w:t>
            </w:r>
            <w:r w:rsidR="0020378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03782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A47F03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  <w:r w:rsidR="002037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311 916</w:t>
            </w:r>
          </w:p>
        </w:tc>
      </w:tr>
      <w:tr w:rsidR="007520B7" w:rsidRPr="000A705F" w:rsidTr="00DE5B3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0A705F" w:rsidRDefault="007520B7" w:rsidP="00DE5B3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1 100 701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54167B" w:rsidRDefault="007520B7" w:rsidP="00DE5B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1 177 443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0B7" w:rsidRPr="00157250" w:rsidRDefault="007520B7" w:rsidP="00DE5B3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1 405 523</w:t>
            </w:r>
          </w:p>
        </w:tc>
      </w:tr>
    </w:tbl>
    <w:p w:rsidR="007520B7" w:rsidRDefault="007520B7" w:rsidP="007520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0B7" w:rsidRPr="00EB520F" w:rsidRDefault="007520B7" w:rsidP="007520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20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7520B7" w:rsidRPr="00D16173" w:rsidRDefault="007520B7" w:rsidP="007520B7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7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 xml:space="preserve">3 квартал 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2023 года плановые назначения </w:t>
      </w:r>
      <w:r w:rsidRPr="00D16173">
        <w:rPr>
          <w:rFonts w:ascii="Times New Roman" w:hAnsi="Times New Roman" w:cs="Times New Roman"/>
          <w:b/>
          <w:i/>
          <w:sz w:val="28"/>
          <w:szCs w:val="28"/>
        </w:rPr>
        <w:t>налоговых и неналоговых доходов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</w:t>
      </w:r>
      <w:r>
        <w:rPr>
          <w:rFonts w:ascii="Times New Roman" w:hAnsi="Times New Roman" w:cs="Times New Roman"/>
          <w:i/>
          <w:sz w:val="28"/>
          <w:szCs w:val="28"/>
        </w:rPr>
        <w:t>спублики Тыва» исполнены на 104% (при плане 100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504 тыс. рублей поступило 104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498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тыс. рублей), </w:t>
      </w:r>
      <w:r w:rsidRPr="00EA5A29">
        <w:rPr>
          <w:rFonts w:ascii="Times New Roman" w:hAnsi="Times New Roman"/>
          <w:i/>
          <w:sz w:val="28"/>
          <w:szCs w:val="28"/>
        </w:rPr>
        <w:t>по сравнению с аналогичным периодом прошлого г</w:t>
      </w:r>
      <w:r>
        <w:rPr>
          <w:rFonts w:ascii="Times New Roman" w:hAnsi="Times New Roman"/>
          <w:i/>
          <w:sz w:val="28"/>
          <w:szCs w:val="28"/>
        </w:rPr>
        <w:t>ода наблюдается увеличение на 11 млн 833 тыс. рублей.</w:t>
      </w:r>
    </w:p>
    <w:p w:rsidR="007520B7" w:rsidRPr="008D7B6C" w:rsidRDefault="007520B7" w:rsidP="007520B7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1FDD5950" wp14:editId="09B822C4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20B7" w:rsidRPr="00A23A82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82">
        <w:rPr>
          <w:rFonts w:ascii="Times New Roman" w:hAnsi="Times New Roman" w:cs="Times New Roman"/>
          <w:i/>
          <w:sz w:val="28"/>
          <w:szCs w:val="28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</w:t>
      </w:r>
      <w:r w:rsidRPr="00A23A82">
        <w:rPr>
          <w:rFonts w:ascii="Times New Roman" w:hAnsi="Times New Roman" w:cs="Times New Roman"/>
          <w:i/>
          <w:sz w:val="28"/>
          <w:szCs w:val="28"/>
        </w:rPr>
        <w:lastRenderedPageBreak/>
        <w:t>на доходы физических лиц (доля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общем объеме поступлений 77</w:t>
      </w:r>
      <w:r w:rsidRPr="00A23A82">
        <w:rPr>
          <w:rFonts w:ascii="Times New Roman" w:hAnsi="Times New Roman" w:cs="Times New Roman"/>
          <w:i/>
          <w:sz w:val="28"/>
          <w:szCs w:val="28"/>
        </w:rPr>
        <w:t>%).</w:t>
      </w:r>
      <w:r w:rsidRPr="008D7B6C">
        <w:rPr>
          <w:noProof/>
          <w:highlight w:val="yellow"/>
          <w:lang w:eastAsia="ru-RU"/>
        </w:rPr>
        <w:drawing>
          <wp:inline distT="0" distB="0" distL="0" distR="0" wp14:anchorId="781A5E5D" wp14:editId="26A31996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20B7" w:rsidRDefault="007520B7" w:rsidP="007520B7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2E2C">
        <w:rPr>
          <w:rFonts w:ascii="Times New Roman" w:eastAsia="Calibri" w:hAnsi="Times New Roman" w:cs="Times New Roman"/>
          <w:i/>
          <w:sz w:val="28"/>
          <w:szCs w:val="28"/>
        </w:rPr>
        <w:t>В бюджеты поселений собственные доходы поступили в сумме 17 млн 987 тыс. рублей, исполнение на 95% от утвержденного плана уменьшение на 1 млн 008 тыс. рублей, по сравнению с аналогичным периодом прошлого года наблюдается уменьшение на 357 тыс. рублей.</w:t>
      </w:r>
    </w:p>
    <w:p w:rsidR="007520B7" w:rsidRPr="00082E2C" w:rsidRDefault="007520B7" w:rsidP="007520B7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20B7" w:rsidRDefault="007520B7" w:rsidP="007520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43B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январь-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</w:t>
      </w:r>
      <w:r w:rsidRPr="005F743B">
        <w:rPr>
          <w:rFonts w:ascii="Times New Roman" w:hAnsi="Times New Roman" w:cs="Times New Roman"/>
          <w:i/>
          <w:sz w:val="28"/>
          <w:szCs w:val="28"/>
        </w:rPr>
        <w:t>месяцы 2023 года</w:t>
      </w:r>
    </w:p>
    <w:tbl>
      <w:tblPr>
        <w:tblW w:w="8835" w:type="dxa"/>
        <w:tblInd w:w="91" w:type="dxa"/>
        <w:tblLook w:val="04A0" w:firstRow="1" w:lastRow="0" w:firstColumn="1" w:lastColumn="0" w:noHBand="0" w:noVBand="1"/>
      </w:tblPr>
      <w:tblGrid>
        <w:gridCol w:w="2314"/>
        <w:gridCol w:w="1418"/>
        <w:gridCol w:w="1275"/>
        <w:gridCol w:w="1418"/>
        <w:gridCol w:w="1134"/>
        <w:gridCol w:w="1276"/>
      </w:tblGrid>
      <w:tr w:rsidR="007520B7" w:rsidRPr="00C22F8E" w:rsidTr="00DE5B3A">
        <w:trPr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b/>
                <w:bCs/>
                <w:sz w:val="20"/>
              </w:rPr>
            </w:pPr>
            <w:r w:rsidRPr="00C22F8E">
              <w:rPr>
                <w:b/>
                <w:bCs/>
                <w:sz w:val="20"/>
              </w:rPr>
              <w:t xml:space="preserve">Факт за </w:t>
            </w:r>
            <w:r>
              <w:rPr>
                <w:b/>
                <w:bCs/>
                <w:sz w:val="20"/>
              </w:rPr>
              <w:t>январь-сентябрь 2022</w:t>
            </w:r>
          </w:p>
          <w:p w:rsidR="007520B7" w:rsidRPr="00C22F8E" w:rsidRDefault="007520B7" w:rsidP="00DE5B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right"/>
              <w:rPr>
                <w:b/>
                <w:bCs/>
                <w:sz w:val="20"/>
              </w:rPr>
            </w:pPr>
            <w:r w:rsidRPr="00C22F8E">
              <w:rPr>
                <w:b/>
                <w:bCs/>
                <w:sz w:val="20"/>
              </w:rPr>
              <w:t xml:space="preserve">План за </w:t>
            </w:r>
            <w:r>
              <w:rPr>
                <w:b/>
                <w:bCs/>
                <w:sz w:val="20"/>
              </w:rPr>
              <w:t>январь-сентябрь 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Default="007520B7" w:rsidP="00DE5B3A">
            <w:pPr>
              <w:jc w:val="center"/>
              <w:rPr>
                <w:b/>
                <w:bCs/>
                <w:sz w:val="20"/>
              </w:rPr>
            </w:pPr>
            <w:r w:rsidRPr="00C22F8E">
              <w:rPr>
                <w:b/>
                <w:bCs/>
                <w:sz w:val="20"/>
              </w:rPr>
              <w:t xml:space="preserve">Факт за </w:t>
            </w:r>
            <w:r>
              <w:rPr>
                <w:b/>
                <w:bCs/>
                <w:sz w:val="20"/>
              </w:rPr>
              <w:t>январь-сентябрь</w:t>
            </w:r>
          </w:p>
          <w:p w:rsidR="007520B7" w:rsidRPr="00C22F8E" w:rsidRDefault="007520B7" w:rsidP="00DE5B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b/>
                <w:bCs/>
                <w:sz w:val="20"/>
              </w:rPr>
            </w:pPr>
            <w:r w:rsidRPr="00C22F8E">
              <w:rPr>
                <w:b/>
                <w:bCs/>
                <w:sz w:val="20"/>
              </w:rPr>
              <w:t xml:space="preserve">% </w:t>
            </w:r>
            <w:proofErr w:type="spellStart"/>
            <w:r w:rsidRPr="00C22F8E">
              <w:rPr>
                <w:b/>
                <w:bCs/>
                <w:sz w:val="20"/>
              </w:rPr>
              <w:t>вып</w:t>
            </w:r>
            <w:proofErr w:type="spellEnd"/>
            <w:r w:rsidRPr="00C22F8E">
              <w:rPr>
                <w:b/>
                <w:bCs/>
                <w:sz w:val="20"/>
              </w:rPr>
              <w:t>.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22F8E">
              <w:rPr>
                <w:b/>
                <w:bCs/>
                <w:sz w:val="20"/>
              </w:rPr>
              <w:t>Коэфф</w:t>
            </w:r>
            <w:proofErr w:type="spellEnd"/>
            <w:r w:rsidRPr="00C22F8E">
              <w:rPr>
                <w:b/>
                <w:bCs/>
                <w:sz w:val="20"/>
              </w:rPr>
              <w:t>. Роста к 202</w:t>
            </w:r>
            <w:r>
              <w:rPr>
                <w:b/>
                <w:bCs/>
                <w:sz w:val="20"/>
              </w:rPr>
              <w:t>2</w:t>
            </w:r>
            <w:r w:rsidRPr="00C22F8E">
              <w:rPr>
                <w:b/>
                <w:bCs/>
                <w:sz w:val="20"/>
              </w:rPr>
              <w:t>г.</w:t>
            </w:r>
          </w:p>
        </w:tc>
      </w:tr>
      <w:tr w:rsidR="007520B7" w:rsidRPr="00C22F8E" w:rsidTr="00DE5B3A">
        <w:trPr>
          <w:trHeight w:val="716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B7" w:rsidRPr="00C22F8E" w:rsidRDefault="007520B7" w:rsidP="00DE5B3A">
            <w:pPr>
              <w:rPr>
                <w:b/>
                <w:bCs/>
                <w:sz w:val="20"/>
              </w:rPr>
            </w:pPr>
          </w:p>
        </w:tc>
      </w:tr>
      <w:tr w:rsidR="007520B7" w:rsidRPr="00C22F8E" w:rsidTr="00DE5B3A">
        <w:trPr>
          <w:trHeight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>Бюджет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E44E13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E44E13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520B7" w:rsidRPr="00C22F8E" w:rsidTr="00DE5B3A">
        <w:trPr>
          <w:trHeight w:val="320"/>
        </w:trPr>
        <w:tc>
          <w:tcPr>
            <w:tcW w:w="23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center"/>
              <w:rPr>
                <w:iCs/>
                <w:sz w:val="20"/>
              </w:rPr>
            </w:pPr>
            <w:r w:rsidRPr="00C22F8E">
              <w:rPr>
                <w:iCs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0B7" w:rsidRPr="00D92D8C" w:rsidRDefault="007520B7" w:rsidP="00DE5B3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B7" w:rsidRPr="00C22F8E" w:rsidRDefault="007520B7" w:rsidP="00DE5B3A">
            <w:pPr>
              <w:jc w:val="center"/>
              <w:rPr>
                <w:sz w:val="20"/>
              </w:rPr>
            </w:pPr>
          </w:p>
        </w:tc>
      </w:tr>
      <w:tr w:rsidR="007520B7" w:rsidRPr="00C22F8E" w:rsidTr="00DE5B3A">
        <w:trPr>
          <w:trHeight w:val="29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ind w:firstLineChars="100" w:firstLine="200"/>
              <w:rPr>
                <w:sz w:val="20"/>
              </w:rPr>
            </w:pPr>
            <w:r w:rsidRPr="00C22F8E">
              <w:rPr>
                <w:sz w:val="20"/>
              </w:rPr>
              <w:t>1. Шагонар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735A9E" w:rsidRDefault="007520B7" w:rsidP="00DE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735A9E" w:rsidRDefault="007520B7" w:rsidP="00DE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735A9E" w:rsidRDefault="007520B7" w:rsidP="00DE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B7" w:rsidRPr="00735A9E" w:rsidRDefault="007520B7" w:rsidP="00DE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735A9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B7" w:rsidRPr="00735A9E" w:rsidRDefault="007520B7" w:rsidP="00DE5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520B7" w:rsidRPr="00C22F8E" w:rsidTr="00DE5B3A">
        <w:trPr>
          <w:trHeight w:val="137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ind w:firstLineChars="100" w:firstLine="200"/>
              <w:rPr>
                <w:sz w:val="20"/>
              </w:rPr>
            </w:pPr>
            <w:r w:rsidRPr="00C22F8E">
              <w:rPr>
                <w:sz w:val="20"/>
              </w:rPr>
              <w:t xml:space="preserve">2. </w:t>
            </w:r>
            <w:proofErr w:type="spellStart"/>
            <w:r w:rsidRPr="00C22F8E">
              <w:rPr>
                <w:sz w:val="20"/>
              </w:rPr>
              <w:t>Арыг-Узуу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705BA7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7520B7" w:rsidRPr="00C22F8E" w:rsidTr="00DE5B3A">
        <w:trPr>
          <w:trHeight w:val="18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ind w:firstLineChars="100" w:firstLine="200"/>
              <w:rPr>
                <w:sz w:val="20"/>
              </w:rPr>
            </w:pPr>
            <w:r w:rsidRPr="00C22F8E">
              <w:rPr>
                <w:sz w:val="20"/>
              </w:rPr>
              <w:t>3. Арыскан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  <w:r w:rsidRPr="00705BA7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7520B7" w:rsidRPr="00C22F8E" w:rsidTr="00DE5B3A">
        <w:trPr>
          <w:trHeight w:val="226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4. </w:t>
            </w:r>
            <w:proofErr w:type="spellStart"/>
            <w:r w:rsidRPr="00C22F8E">
              <w:rPr>
                <w:sz w:val="20"/>
              </w:rPr>
              <w:t>Иштии-Хем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 w:rsidRPr="00705BA7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7520B7" w:rsidRPr="00C22F8E" w:rsidTr="00DE5B3A">
        <w:trPr>
          <w:trHeight w:val="269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5. Ийи-Тал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05BA7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705BA7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20B7" w:rsidRPr="00C22F8E" w:rsidTr="00DE5B3A">
        <w:trPr>
          <w:trHeight w:val="18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6. </w:t>
            </w:r>
            <w:proofErr w:type="spellStart"/>
            <w:r w:rsidRPr="00C22F8E">
              <w:rPr>
                <w:sz w:val="20"/>
              </w:rPr>
              <w:t>Арыг-Бажы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 w:rsidRPr="00297245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7520B7" w:rsidRPr="00C22F8E" w:rsidTr="00DE5B3A">
        <w:trPr>
          <w:trHeight w:val="263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7. </w:t>
            </w:r>
            <w:proofErr w:type="spellStart"/>
            <w:r w:rsidRPr="00C22F8E">
              <w:rPr>
                <w:sz w:val="20"/>
              </w:rPr>
              <w:t>Чааты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Pr="00297245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 w:rsidRPr="00297245">
              <w:rPr>
                <w:sz w:val="20"/>
              </w:rPr>
              <w:t>0,</w:t>
            </w:r>
            <w:r>
              <w:rPr>
                <w:sz w:val="20"/>
              </w:rPr>
              <w:t>5</w:t>
            </w:r>
          </w:p>
        </w:tc>
      </w:tr>
      <w:tr w:rsidR="007520B7" w:rsidRPr="00C22F8E" w:rsidTr="00DE5B3A">
        <w:trPr>
          <w:trHeight w:val="83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8. </w:t>
            </w:r>
            <w:proofErr w:type="spellStart"/>
            <w:r w:rsidRPr="00C22F8E">
              <w:rPr>
                <w:sz w:val="20"/>
              </w:rPr>
              <w:t>Торгалыг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 w:rsidRPr="00297245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7520B7" w:rsidRPr="00C22F8E" w:rsidTr="00DE5B3A">
        <w:trPr>
          <w:trHeight w:val="60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t xml:space="preserve">    9. Хайыракан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Pr="00297245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7520B7" w:rsidRPr="00C22F8E" w:rsidTr="00DE5B3A">
        <w:trPr>
          <w:trHeight w:val="355"/>
        </w:trPr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0B7" w:rsidRPr="00C22F8E" w:rsidRDefault="007520B7" w:rsidP="00DE5B3A">
            <w:pPr>
              <w:jc w:val="both"/>
              <w:rPr>
                <w:sz w:val="20"/>
              </w:rPr>
            </w:pPr>
            <w:r w:rsidRPr="00C22F8E">
              <w:rPr>
                <w:sz w:val="20"/>
              </w:rPr>
              <w:lastRenderedPageBreak/>
              <w:t xml:space="preserve">    10. </w:t>
            </w:r>
            <w:proofErr w:type="spellStart"/>
            <w:r w:rsidRPr="00C22F8E">
              <w:rPr>
                <w:sz w:val="20"/>
              </w:rPr>
              <w:t>Эйлиг-Хем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 w:rsidRPr="00297245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0B7" w:rsidRPr="00297245" w:rsidRDefault="007520B7" w:rsidP="00DE5B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</w:tbl>
    <w:p w:rsidR="007520B7" w:rsidRDefault="007520B7" w:rsidP="007520B7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20B7" w:rsidRDefault="007520B7" w:rsidP="007520B7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Calibri" w:eastAsia="Calibri" w:hAnsi="Calibri" w:cs="Times New Roman"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t>В кожуу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F17FE">
        <w:rPr>
          <w:rFonts w:ascii="Times New Roman" w:hAnsi="Times New Roman" w:cs="Times New Roman"/>
          <w:i/>
          <w:sz w:val="28"/>
          <w:szCs w:val="28"/>
        </w:rPr>
        <w:t>ный бюджет собстве</w:t>
      </w:r>
      <w:r>
        <w:rPr>
          <w:rFonts w:ascii="Times New Roman" w:hAnsi="Times New Roman" w:cs="Times New Roman"/>
          <w:i/>
          <w:sz w:val="28"/>
          <w:szCs w:val="28"/>
        </w:rPr>
        <w:t>нные доходы поступили в сумме 86 млн 511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i/>
          <w:sz w:val="28"/>
          <w:szCs w:val="28"/>
        </w:rPr>
        <w:t>лей, при плановых назначениях 81 млн 509 тыс. рублей, или 106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% исполнение от плана, по сравнению с аналогичным периодом прошлого </w:t>
      </w:r>
      <w:r>
        <w:rPr>
          <w:rFonts w:ascii="Times New Roman" w:hAnsi="Times New Roman" w:cs="Times New Roman"/>
          <w:i/>
          <w:sz w:val="28"/>
          <w:szCs w:val="28"/>
        </w:rPr>
        <w:t>года наблюдается увеличение на 12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190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тыс. рублей. Объем налоговых доходо</w:t>
      </w:r>
      <w:r>
        <w:rPr>
          <w:rFonts w:ascii="Times New Roman" w:hAnsi="Times New Roman" w:cs="Times New Roman"/>
          <w:i/>
          <w:sz w:val="28"/>
          <w:szCs w:val="28"/>
        </w:rPr>
        <w:t>в кожуунного бюджета составил 82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986тыс. рублей (АППГ – 72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 xml:space="preserve">240 тыс. рублей), что </w:t>
      </w:r>
      <w:r w:rsidRPr="00082E2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увеличились на 10 млн 746 тыс.рублей, неналоговые доходы составил 3 млн 525тыс. рублей (АППГ -2 млн 081 тыс.рублей)  увеличение  на 1 млн  444 тыс. рублей .</w:t>
      </w:r>
    </w:p>
    <w:p w:rsidR="007520B7" w:rsidRPr="008D7B6C" w:rsidRDefault="007520B7" w:rsidP="007520B7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5A195673" wp14:editId="19165425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20B7" w:rsidRPr="003F17FE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плана за 3 квартал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2023 г. в разрезе доходных источников выглядит следующим образом:</w:t>
      </w:r>
    </w:p>
    <w:p w:rsidR="007520B7" w:rsidRPr="00E93909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909">
        <w:rPr>
          <w:rFonts w:ascii="Times New Roman" w:hAnsi="Times New Roman" w:cs="Times New Roman"/>
          <w:b/>
          <w:i/>
          <w:sz w:val="28"/>
          <w:szCs w:val="28"/>
        </w:rPr>
        <w:t>Налоговые доходы консолидированного бюджета Улуг-Хемского кожууна</w:t>
      </w:r>
    </w:p>
    <w:p w:rsidR="007520B7" w:rsidRPr="002529C6" w:rsidRDefault="007520B7" w:rsidP="007520B7">
      <w:pPr>
        <w:widowControl w:val="0"/>
        <w:spacing w:after="0" w:line="240" w:lineRule="auto"/>
        <w:ind w:right="40" w:firstLine="284"/>
        <w:jc w:val="both"/>
        <w:rPr>
          <w:rFonts w:ascii="Times New Roman" w:eastAsia="Calibri" w:hAnsi="Times New Roman" w:cs="Times New Roman"/>
          <w:bCs/>
          <w:i/>
          <w:spacing w:val="9"/>
          <w:sz w:val="28"/>
          <w:szCs w:val="28"/>
        </w:rPr>
      </w:pPr>
      <w:r w:rsidRPr="005252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Налог на доходы физических лиц поступил в сумме 80 млн 389 тыс. рублей. При утвержденном плане 71 млн 574 тыс. рублей исполнение 112% (+8 млн 815тыс. рублей). По сравнению с аналогичным периодом прошлого года доходы увеличилось на 14 млн 693 тыс. </w:t>
      </w:r>
      <w:r w:rsidR="008007DC" w:rsidRPr="005252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рублей</w:t>
      </w:r>
      <w:r w:rsidR="008007DC" w:rsidRPr="005252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007DC" w:rsidRPr="008007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Pr="00E93909">
        <w:rPr>
          <w:rFonts w:ascii="Times New Roman" w:eastAsia="Calibri" w:hAnsi="Times New Roman" w:cs="Times New Roman"/>
          <w:bCs/>
          <w:i/>
          <w:spacing w:val="9"/>
          <w:sz w:val="28"/>
          <w:szCs w:val="28"/>
        </w:rPr>
        <w:t xml:space="preserve"> на 77 %.</w:t>
      </w:r>
    </w:p>
    <w:p w:rsidR="007520B7" w:rsidRPr="0052521D" w:rsidRDefault="007520B7" w:rsidP="007520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5252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уплаты акцизов на нефтепродукты поступили в сумме 3 млн 139 тыс. рублей, исполнение на 104% (+110 тыс. рублей). По сравнению с аналогичным периодом прошлого года наблюдается увеличенине поступлений на 3 % или на 130 тыс. рублей.</w:t>
      </w:r>
    </w:p>
    <w:p w:rsidR="007520B7" w:rsidRPr="0052521D" w:rsidRDefault="007520B7" w:rsidP="007520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21D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</w:t>
      </w:r>
      <w:r w:rsidR="008007DC" w:rsidRPr="0052521D">
        <w:rPr>
          <w:rFonts w:ascii="Times New Roman" w:hAnsi="Times New Roman" w:cs="Times New Roman"/>
          <w:i/>
          <w:sz w:val="28"/>
          <w:szCs w:val="28"/>
        </w:rPr>
        <w:t>упрощенной системы налогообложения,</w:t>
      </w:r>
      <w:r w:rsidRPr="0052521D">
        <w:rPr>
          <w:rFonts w:ascii="Times New Roman" w:hAnsi="Times New Roman" w:cs="Times New Roman"/>
          <w:i/>
          <w:sz w:val="28"/>
          <w:szCs w:val="28"/>
        </w:rPr>
        <w:t xml:space="preserve"> поступил в сумме 6 млн 866 тыс. рублей, при плане 8 млн 557 тыс. рублей исполнение 80% (уменьшение на 1 млн 691 тыс. рублей). По сравнению с аналогичным периодом прошлого года доходы уменьшились на 5 тыс. рублей.</w:t>
      </w:r>
    </w:p>
    <w:p w:rsidR="007520B7" w:rsidRPr="0052521D" w:rsidRDefault="007520B7" w:rsidP="007520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52521D">
        <w:rPr>
          <w:rFonts w:ascii="Times New Roman" w:hAnsi="Times New Roman" w:cs="Times New Roman"/>
          <w:i/>
          <w:sz w:val="28"/>
          <w:szCs w:val="28"/>
        </w:rPr>
        <w:t>Единый сельскохозяйственный налог поступил в сумме 211 тыс. рублей, при плане 280 тыс. рублей исполнение на 75% (уменьшение на 69 тыс.</w:t>
      </w:r>
      <w:r w:rsidR="008007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521D">
        <w:rPr>
          <w:rFonts w:ascii="Times New Roman" w:hAnsi="Times New Roman" w:cs="Times New Roman"/>
          <w:i/>
          <w:sz w:val="28"/>
          <w:szCs w:val="28"/>
        </w:rPr>
        <w:t>рублей). По сравнению с аналогичным периодом прошлого года доходы уменьшились на 198 тыс. рублей.</w:t>
      </w:r>
    </w:p>
    <w:p w:rsidR="007520B7" w:rsidRPr="0052521D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5252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Государственная пошлина поступила в сумме 3 млн 330 тыс. рублей при плане за январь – сентябрь месяцы 2 млн 326 тыс. рублей исполнение на 143% (+1 млн 004 </w:t>
      </w:r>
      <w:r w:rsidRPr="005252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 xml:space="preserve">тыс.рублей). По сравнению с аналогичным периодом прошлого года наблюдается увеличение поступлений на 1 млн 071 тыс. рублей. </w:t>
      </w:r>
    </w:p>
    <w:p w:rsidR="007520B7" w:rsidRPr="00E93909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Неналоговые доходы консолидированного бюджета Улуг-Хемского кожууна</w:t>
      </w:r>
    </w:p>
    <w:p w:rsidR="007520B7" w:rsidRDefault="007520B7" w:rsidP="007520B7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4DC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Доходы от аренды земельных участков поступили в сумме 3млн 052 тыс. рублей при плане за январь-сентябрь месяцы 1млн  623 тыс. рублей исполнение на 188% (+1млн  429  тыс. рублей). По сравнению с аналогичным периодом прошлого года доходы увеличились на 2,9% или больше на 688 тыс. рублей. </w:t>
      </w:r>
    </w:p>
    <w:p w:rsidR="007520B7" w:rsidRPr="00BC4DCA" w:rsidRDefault="007520B7" w:rsidP="007520B7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C4DC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аренды имущества  поступили в сумме 517 тыс. рублей при плане за январь-сентябрь месяцы 817 тыс. рублей исполнение на 63% (уменьшение на 300 тыс.рублей).  По сравнению с аналогичным периодом прошлого года доходы уменьшились на 311тыс. рублей.</w:t>
      </w:r>
    </w:p>
    <w:p w:rsidR="007520B7" w:rsidRPr="00BC4DCA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BC4DC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продажи земельных участков</w:t>
      </w:r>
      <w:r w:rsidRPr="00BC4D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4DC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поступили в сумме 1 млн 118 тыс. рублей, при плане за январь-сентябрь месяцы  403 тыс. рублей исполнение на 277% (+715 тыс. рублей). По сравнению с аналогичным периодом прошлого года наблюдается увеличение на 210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тыс. рублей.</w:t>
      </w:r>
    </w:p>
    <w:p w:rsidR="007520B7" w:rsidRPr="00E93909" w:rsidRDefault="007520B7" w:rsidP="007520B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Штрафные санкции поступили в сумме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371</w:t>
      </w: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рублей, при плане за январь – сентябрь месяцы 376</w:t>
      </w: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тыс. рублей выполнение на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99% (-5</w:t>
      </w: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тыс. рублей). По сравнению с аналогичным периодом прошлого года наблюдае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тся увеличение поступлений на 77</w:t>
      </w: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тыс. рублей больше.</w:t>
      </w:r>
    </w:p>
    <w:p w:rsidR="007520B7" w:rsidRPr="000003EB" w:rsidRDefault="007520B7" w:rsidP="007520B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EB">
        <w:rPr>
          <w:rFonts w:ascii="Times New Roman" w:hAnsi="Times New Roman" w:cs="Times New Roman"/>
          <w:i/>
          <w:sz w:val="28"/>
          <w:szCs w:val="28"/>
        </w:rPr>
        <w:t xml:space="preserve">Также, еще одной основной задачей является сбор имущественных налогов. По состоянию на 01 </w:t>
      </w:r>
      <w:r>
        <w:rPr>
          <w:rFonts w:ascii="Times New Roman" w:hAnsi="Times New Roman" w:cs="Times New Roman"/>
          <w:i/>
          <w:sz w:val="28"/>
          <w:szCs w:val="28"/>
        </w:rPr>
        <w:t>октября 2023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года поступление по имущественным налогам составляет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 млн 566</w:t>
      </w:r>
      <w:r w:rsidRPr="000003EB">
        <w:rPr>
          <w:rFonts w:ascii="Times New Roman" w:hAnsi="Times New Roman" w:cs="Times New Roman"/>
          <w:i/>
          <w:sz w:val="28"/>
          <w:szCs w:val="28"/>
        </w:rPr>
        <w:t>тыс. руб.,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03EB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267 тыс. 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рублей при плане </w:t>
      </w:r>
      <w:r>
        <w:rPr>
          <w:rFonts w:ascii="Times New Roman" w:hAnsi="Times New Roman" w:cs="Times New Roman"/>
          <w:i/>
          <w:sz w:val="28"/>
          <w:szCs w:val="28"/>
        </w:rPr>
        <w:t>991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 исполнение на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0003EB">
        <w:rPr>
          <w:rFonts w:ascii="Times New Roman" w:hAnsi="Times New Roman" w:cs="Times New Roman"/>
          <w:i/>
          <w:sz w:val="28"/>
          <w:szCs w:val="28"/>
        </w:rPr>
        <w:t>%, по земельному налогу с физических лиц</w:t>
      </w:r>
      <w:r w:rsidRPr="000003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660 тыс. рублей при плане 963 тыс. рублей исполнение на 69% (-303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периода поступления </w:t>
      </w:r>
      <w:r>
        <w:rPr>
          <w:rFonts w:ascii="Times New Roman" w:hAnsi="Times New Roman" w:cs="Times New Roman"/>
          <w:i/>
          <w:sz w:val="28"/>
          <w:szCs w:val="28"/>
        </w:rPr>
        <w:t>уменьшилось на 4,3</w:t>
      </w:r>
      <w:r w:rsidRPr="000003EB">
        <w:rPr>
          <w:rFonts w:ascii="Times New Roman" w:hAnsi="Times New Roman" w:cs="Times New Roman"/>
          <w:i/>
          <w:sz w:val="28"/>
          <w:szCs w:val="28"/>
        </w:rPr>
        <w:t>% или поступление на</w:t>
      </w:r>
      <w:r>
        <w:rPr>
          <w:rFonts w:ascii="Times New Roman" w:hAnsi="Times New Roman" w:cs="Times New Roman"/>
          <w:i/>
          <w:sz w:val="28"/>
          <w:szCs w:val="28"/>
        </w:rPr>
        <w:t xml:space="preserve"> 4 млн 300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меньше. </w:t>
      </w:r>
    </w:p>
    <w:p w:rsidR="007520B7" w:rsidRPr="008D7B6C" w:rsidRDefault="007520B7" w:rsidP="007520B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08A6C52B" wp14:editId="00E6BF2B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20B7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520B7" w:rsidRDefault="007520B7" w:rsidP="007520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</w:t>
      </w:r>
      <w:r w:rsidR="00530E78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30E78">
        <w:rPr>
          <w:rFonts w:ascii="Times New Roman" w:hAnsi="Times New Roman" w:cs="Times New Roman"/>
          <w:i/>
          <w:color w:val="000000"/>
          <w:sz w:val="28"/>
          <w:szCs w:val="28"/>
        </w:rPr>
        <w:t>квартал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в сумме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1 млрд. 278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06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млрд.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718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85,11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1 млрд. 074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017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увеличение на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204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051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136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57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-дотации бюджетам муниципальных районов на выравнивание бюджетной обеспеченности –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134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D5E78">
        <w:rPr>
          <w:rFonts w:ascii="Times New Roman" w:hAnsi="Times New Roman" w:cs="Times New Roman"/>
          <w:i/>
          <w:color w:val="000000"/>
          <w:sz w:val="28"/>
          <w:szCs w:val="28"/>
        </w:rPr>
        <w:t>941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1 млн. 216</w:t>
      </w:r>
      <w:r w:rsidR="00682CD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</w:t>
      </w:r>
      <w:r w:rsidR="00CB5241">
        <w:rPr>
          <w:rFonts w:ascii="Times New Roman" w:hAnsi="Times New Roman" w:cs="Times New Roman"/>
          <w:i/>
          <w:color w:val="000000"/>
          <w:sz w:val="28"/>
          <w:szCs w:val="28"/>
        </w:rPr>
        <w:t>320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B5241">
        <w:rPr>
          <w:rFonts w:ascii="Times New Roman" w:hAnsi="Times New Roman" w:cs="Times New Roman"/>
          <w:i/>
          <w:color w:val="000000"/>
          <w:sz w:val="28"/>
          <w:szCs w:val="28"/>
        </w:rPr>
        <w:t>834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CB52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740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CB5241">
        <w:rPr>
          <w:rFonts w:ascii="Times New Roman" w:hAnsi="Times New Roman" w:cs="Times New Roman"/>
          <w:i/>
          <w:color w:val="000000"/>
          <w:sz w:val="28"/>
          <w:szCs w:val="28"/>
        </w:rPr>
        <w:t>724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530E78">
        <w:rPr>
          <w:rFonts w:ascii="Times New Roman" w:hAnsi="Times New Roman" w:cs="Times New Roman"/>
          <w:i/>
          <w:color w:val="000000"/>
          <w:sz w:val="28"/>
          <w:szCs w:val="28"/>
        </w:rPr>
        <w:t>80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30E78">
        <w:rPr>
          <w:rFonts w:ascii="Times New Roman" w:hAnsi="Times New Roman" w:cs="Times New Roman"/>
          <w:i/>
          <w:color w:val="000000"/>
          <w:sz w:val="28"/>
          <w:szCs w:val="28"/>
        </w:rPr>
        <w:t>352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B2028" w:rsidRPr="00D52A77" w:rsidRDefault="00310D3E" w:rsidP="002F583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</w:t>
      </w:r>
      <w:r w:rsidR="00BB5153">
        <w:rPr>
          <w:rFonts w:ascii="Times New Roman" w:hAnsi="Times New Roman" w:cs="Times New Roman"/>
          <w:i/>
          <w:sz w:val="28"/>
          <w:szCs w:val="28"/>
        </w:rPr>
        <w:t>3 квартал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7094">
        <w:rPr>
          <w:rFonts w:ascii="Times New Roman" w:hAnsi="Times New Roman" w:cs="Times New Roman"/>
          <w:i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</w:t>
      </w:r>
      <w:r w:rsidR="00BB5153">
        <w:rPr>
          <w:rFonts w:ascii="Times New Roman" w:hAnsi="Times New Roman" w:cs="Times New Roman"/>
          <w:i/>
          <w:sz w:val="28"/>
          <w:szCs w:val="28"/>
        </w:rPr>
        <w:t xml:space="preserve"> 1 млрд.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FE9">
        <w:rPr>
          <w:rFonts w:ascii="Times New Roman" w:hAnsi="Times New Roman" w:cs="Times New Roman"/>
          <w:i/>
          <w:sz w:val="28"/>
          <w:szCs w:val="28"/>
        </w:rPr>
        <w:t>405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37FE9">
        <w:rPr>
          <w:rFonts w:ascii="Times New Roman" w:hAnsi="Times New Roman" w:cs="Times New Roman"/>
          <w:i/>
          <w:sz w:val="28"/>
          <w:szCs w:val="28"/>
        </w:rPr>
        <w:t>523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337FE9">
        <w:rPr>
          <w:rFonts w:ascii="Times New Roman" w:hAnsi="Times New Roman" w:cs="Times New Roman"/>
          <w:i/>
          <w:sz w:val="28"/>
          <w:szCs w:val="28"/>
        </w:rPr>
        <w:t>707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37FE9">
        <w:rPr>
          <w:rFonts w:ascii="Times New Roman" w:hAnsi="Times New Roman" w:cs="Times New Roman"/>
          <w:i/>
          <w:sz w:val="28"/>
          <w:szCs w:val="28"/>
        </w:rPr>
        <w:t>046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DC7471">
        <w:rPr>
          <w:rFonts w:ascii="Times New Roman" w:hAnsi="Times New Roman" w:cs="Times New Roman"/>
          <w:i/>
          <w:sz w:val="28"/>
          <w:szCs w:val="28"/>
        </w:rPr>
        <w:t>8</w:t>
      </w:r>
      <w:r w:rsidR="00337FE9">
        <w:rPr>
          <w:rFonts w:ascii="Times New Roman" w:hAnsi="Times New Roman" w:cs="Times New Roman"/>
          <w:i/>
          <w:sz w:val="28"/>
          <w:szCs w:val="28"/>
        </w:rPr>
        <w:t>2</w:t>
      </w:r>
      <w:r w:rsidR="00DC7471">
        <w:rPr>
          <w:rFonts w:ascii="Times New Roman" w:hAnsi="Times New Roman" w:cs="Times New Roman"/>
          <w:i/>
          <w:sz w:val="28"/>
          <w:szCs w:val="28"/>
        </w:rPr>
        <w:t>,</w:t>
      </w:r>
      <w:r w:rsidR="00337FE9">
        <w:rPr>
          <w:rFonts w:ascii="Times New Roman" w:hAnsi="Times New Roman" w:cs="Times New Roman"/>
          <w:i/>
          <w:sz w:val="28"/>
          <w:szCs w:val="28"/>
        </w:rPr>
        <w:t>33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DC7471">
        <w:rPr>
          <w:rFonts w:ascii="Times New Roman" w:hAnsi="Times New Roman" w:cs="Times New Roman"/>
          <w:i/>
          <w:sz w:val="28"/>
          <w:szCs w:val="28"/>
        </w:rPr>
        <w:t>1 млрд. 1</w:t>
      </w:r>
      <w:r w:rsidR="00337FE9">
        <w:rPr>
          <w:rFonts w:ascii="Times New Roman" w:hAnsi="Times New Roman" w:cs="Times New Roman"/>
          <w:i/>
          <w:sz w:val="28"/>
          <w:szCs w:val="28"/>
        </w:rPr>
        <w:t>77</w:t>
      </w:r>
      <w:r w:rsidR="002F5838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37FE9">
        <w:rPr>
          <w:rFonts w:ascii="Times New Roman" w:hAnsi="Times New Roman" w:cs="Times New Roman"/>
          <w:i/>
          <w:sz w:val="28"/>
          <w:szCs w:val="28"/>
        </w:rPr>
        <w:t>443</w:t>
      </w:r>
      <w:r w:rsidR="002F5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838" w:rsidRPr="00D52A77">
        <w:rPr>
          <w:rFonts w:ascii="Times New Roman" w:hAnsi="Times New Roman" w:cs="Times New Roman"/>
          <w:i/>
          <w:sz w:val="28"/>
          <w:szCs w:val="28"/>
        </w:rPr>
        <w:t>тыс. руб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., увеличение на </w:t>
      </w:r>
      <w:r w:rsidR="00DC7471">
        <w:rPr>
          <w:rFonts w:ascii="Times New Roman" w:hAnsi="Times New Roman" w:cs="Times New Roman"/>
          <w:i/>
          <w:sz w:val="28"/>
          <w:szCs w:val="28"/>
        </w:rPr>
        <w:t>22</w:t>
      </w:r>
      <w:r w:rsidR="00337FE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37FE9">
        <w:rPr>
          <w:rFonts w:ascii="Times New Roman" w:hAnsi="Times New Roman" w:cs="Times New Roman"/>
          <w:i/>
          <w:sz w:val="28"/>
          <w:szCs w:val="28"/>
        </w:rPr>
        <w:t>080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 Расходы бюджетов поселений </w:t>
      </w:r>
      <w:r w:rsidRPr="004C638F">
        <w:rPr>
          <w:rFonts w:ascii="Times New Roman" w:hAnsi="Times New Roman" w:cs="Times New Roman"/>
          <w:i/>
          <w:sz w:val="28"/>
          <w:szCs w:val="28"/>
        </w:rPr>
        <w:t>составили</w:t>
      </w:r>
      <w:r w:rsidR="003D5E40" w:rsidRPr="004C6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38F" w:rsidRPr="004C638F">
        <w:rPr>
          <w:rFonts w:ascii="Times New Roman" w:hAnsi="Times New Roman" w:cs="Times New Roman"/>
          <w:i/>
          <w:sz w:val="28"/>
          <w:szCs w:val="28"/>
        </w:rPr>
        <w:t>52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4C638F">
        <w:rPr>
          <w:rFonts w:ascii="Times New Roman" w:hAnsi="Times New Roman" w:cs="Times New Roman"/>
          <w:i/>
          <w:sz w:val="28"/>
          <w:szCs w:val="28"/>
        </w:rPr>
        <w:t>271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9C25AF" w:rsidRPr="004C638F">
        <w:rPr>
          <w:rFonts w:ascii="Times New Roman" w:hAnsi="Times New Roman" w:cs="Times New Roman"/>
          <w:i/>
          <w:sz w:val="28"/>
          <w:szCs w:val="28"/>
        </w:rPr>
        <w:t>78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4C638F">
        <w:rPr>
          <w:rFonts w:ascii="Times New Roman" w:hAnsi="Times New Roman" w:cs="Times New Roman"/>
          <w:i/>
          <w:sz w:val="28"/>
          <w:szCs w:val="28"/>
        </w:rPr>
        <w:t>406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4C638F">
        <w:rPr>
          <w:rFonts w:ascii="Times New Roman" w:hAnsi="Times New Roman" w:cs="Times New Roman"/>
          <w:i/>
          <w:sz w:val="28"/>
          <w:szCs w:val="28"/>
        </w:rPr>
        <w:t>66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4C638F" w:rsidRPr="00337FE9">
        <w:rPr>
          <w:rFonts w:ascii="Times New Roman" w:hAnsi="Times New Roman" w:cs="Times New Roman"/>
          <w:i/>
          <w:sz w:val="28"/>
          <w:szCs w:val="28"/>
        </w:rPr>
        <w:t>45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4C638F">
        <w:rPr>
          <w:rFonts w:ascii="Times New Roman" w:hAnsi="Times New Roman" w:cs="Times New Roman"/>
          <w:i/>
          <w:sz w:val="28"/>
          <w:szCs w:val="28"/>
        </w:rPr>
        <w:t>784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37FE9">
        <w:rPr>
          <w:rFonts w:ascii="Times New Roman" w:hAnsi="Times New Roman" w:cs="Times New Roman"/>
          <w:i/>
          <w:sz w:val="28"/>
          <w:szCs w:val="28"/>
        </w:rPr>
        <w:t>6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9C25AF">
        <w:rPr>
          <w:rFonts w:ascii="Times New Roman" w:hAnsi="Times New Roman" w:cs="Times New Roman"/>
          <w:i/>
          <w:sz w:val="28"/>
          <w:szCs w:val="28"/>
        </w:rPr>
        <w:t>4</w:t>
      </w:r>
      <w:r w:rsidR="00337FE9">
        <w:rPr>
          <w:rFonts w:ascii="Times New Roman" w:hAnsi="Times New Roman" w:cs="Times New Roman"/>
          <w:i/>
          <w:sz w:val="28"/>
          <w:szCs w:val="28"/>
        </w:rPr>
        <w:t>87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FE9"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337FE9" w:rsidRPr="00D52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FE9">
        <w:rPr>
          <w:rFonts w:ascii="Times New Roman" w:hAnsi="Times New Roman" w:cs="Times New Roman"/>
          <w:i/>
          <w:sz w:val="28"/>
          <w:szCs w:val="28"/>
        </w:rPr>
        <w:t xml:space="preserve">353 млн. 252 </w:t>
      </w:r>
      <w:r w:rsidR="00337FE9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 w:rsidR="00337FE9">
        <w:rPr>
          <w:rFonts w:ascii="Times New Roman" w:hAnsi="Times New Roman" w:cs="Times New Roman"/>
          <w:i/>
          <w:sz w:val="28"/>
          <w:szCs w:val="28"/>
        </w:rPr>
        <w:t xml:space="preserve">1 млрд. 628 млн. 729 тыс. </w:t>
      </w:r>
      <w:r w:rsidR="00337FE9" w:rsidRPr="00D52A77">
        <w:rPr>
          <w:rFonts w:ascii="Times New Roman" w:hAnsi="Times New Roman" w:cs="Times New Roman"/>
          <w:i/>
          <w:sz w:val="28"/>
          <w:szCs w:val="28"/>
        </w:rPr>
        <w:t>руб.</w:t>
      </w:r>
      <w:r w:rsidR="00337F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Исполнение плана </w:t>
      </w:r>
      <w:r w:rsidR="00337FE9">
        <w:rPr>
          <w:rFonts w:ascii="Times New Roman" w:hAnsi="Times New Roman" w:cs="Times New Roman"/>
          <w:i/>
          <w:sz w:val="28"/>
          <w:szCs w:val="28"/>
        </w:rPr>
        <w:t>83,09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1534BB" w:rsidRPr="00D52A77" w:rsidRDefault="00310D3E" w:rsidP="009E14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увеличились на </w:t>
      </w:r>
      <w:r w:rsidR="00337FE9">
        <w:rPr>
          <w:rFonts w:ascii="Times New Roman" w:hAnsi="Times New Roman" w:cs="Times New Roman"/>
          <w:i/>
          <w:color w:val="000000"/>
          <w:sz w:val="28"/>
          <w:szCs w:val="28"/>
        </w:rPr>
        <w:t>220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37FE9">
        <w:rPr>
          <w:rFonts w:ascii="Times New Roman" w:hAnsi="Times New Roman" w:cs="Times New Roman"/>
          <w:i/>
          <w:color w:val="000000"/>
          <w:sz w:val="28"/>
          <w:szCs w:val="28"/>
        </w:rPr>
        <w:t>587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 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37FE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337FE9">
        <w:rPr>
          <w:rFonts w:ascii="Times New Roman" w:hAnsi="Times New Roman" w:cs="Times New Roman"/>
          <w:i/>
          <w:sz w:val="28"/>
          <w:szCs w:val="28"/>
        </w:rPr>
        <w:t>1 млрд. 132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FE9">
        <w:rPr>
          <w:rFonts w:ascii="Times New Roman" w:hAnsi="Times New Roman" w:cs="Times New Roman"/>
          <w:i/>
          <w:sz w:val="28"/>
          <w:szCs w:val="28"/>
        </w:rPr>
        <w:t>665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Увеличение связано в основном в связи с увеличение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минимального размера оплаты труда с 1 января 2023 года.</w:t>
      </w:r>
    </w:p>
    <w:p w:rsidR="00310D3E" w:rsidRPr="00D52A77" w:rsidRDefault="00310D3E" w:rsidP="00145F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337FE9" w:rsidRPr="005E6EEA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1534BB" w:rsidRPr="005E6EEA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6EE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5E6EEA" w:rsidRPr="005E6EEA">
        <w:rPr>
          <w:rFonts w:ascii="Times New Roman" w:hAnsi="Times New Roman" w:cs="Times New Roman"/>
          <w:i/>
          <w:color w:val="000000"/>
          <w:sz w:val="28"/>
          <w:szCs w:val="28"/>
        </w:rPr>
        <w:t>1 млрд. 179</w:t>
      </w:r>
      <w:r w:rsidR="00B17668"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 w:rsidRPr="005E6EEA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5E6EEA" w:rsidRPr="005E6EEA">
        <w:rPr>
          <w:rFonts w:ascii="Times New Roman" w:hAnsi="Times New Roman" w:cs="Times New Roman"/>
          <w:i/>
          <w:color w:val="000000"/>
          <w:sz w:val="28"/>
          <w:szCs w:val="28"/>
        </w:rPr>
        <w:t>75</w:t>
      </w:r>
      <w:r w:rsidR="00B17668"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 w:rsidRP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6EEA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145FA8" w:rsidRPr="00145FA8">
        <w:rPr>
          <w:rFonts w:ascii="Times New Roman" w:hAnsi="Times New Roman" w:cs="Times New Roman"/>
          <w:i/>
          <w:color w:val="000000"/>
          <w:sz w:val="28"/>
          <w:szCs w:val="28"/>
        </w:rPr>
        <w:t>) с ростом к уровню аналогичного периода прошлого года на 135 млн. 117 тыс. руб. или на 12,94%</w:t>
      </w:r>
      <w:r w:rsidR="009D33A4" w:rsidRPr="00145F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145FA8">
        <w:rPr>
          <w:rFonts w:ascii="Times New Roman" w:hAnsi="Times New Roman" w:cs="Times New Roman"/>
          <w:i/>
          <w:color w:val="000000"/>
          <w:sz w:val="28"/>
          <w:szCs w:val="28"/>
        </w:rPr>
        <w:t>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910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406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или исполнено на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83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C5EF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648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052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262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54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57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431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85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>50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FE4F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276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155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98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(за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220 тыс.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211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14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81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345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410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134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270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>61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5E6E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992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80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548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1 млн 374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9D33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1 млн 391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76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224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833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2,5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(уменьшение фонд оплаты труда связано с тем, что 4 штатные единицы в 2022 году были переданы в Администрацию кожууна).</w:t>
      </w:r>
    </w:p>
    <w:p w:rsidR="00310D3E" w:rsidRPr="00D52A77" w:rsidRDefault="00310D3E" w:rsidP="009B62E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7E6BCC">
        <w:rPr>
          <w:rFonts w:ascii="Times New Roman" w:hAnsi="Times New Roman" w:cs="Times New Roman"/>
          <w:i/>
          <w:color w:val="000000"/>
          <w:sz w:val="28"/>
          <w:szCs w:val="28"/>
        </w:rPr>
        <w:t>37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</w:t>
      </w:r>
      <w:r w:rsidR="007E6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938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7E6BCC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45FA8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7E6BCC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709</w:t>
      </w:r>
      <w:r w:rsidR="00E81BB3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E6BCC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120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бюджета </w:t>
      </w:r>
      <w:r w:rsidR="007E6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703 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E6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862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672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444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76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5750D" w:rsidRDefault="00310D3E" w:rsidP="006012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43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246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бюджета 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623AE2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 </w:t>
      </w:r>
      <w:r w:rsidR="00FE05F7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757</w:t>
      </w:r>
      <w:r w:rsidR="00FE05F7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9D33A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4E7312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963</w:t>
      </w:r>
      <w:r w:rsidR="009D33A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>тыс. руб.(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623AE2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 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4E7312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9B62E4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739</w:t>
      </w:r>
      <w:r w:rsidR="004E7312" w:rsidRPr="009B62E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62E4">
        <w:rPr>
          <w:rFonts w:ascii="Times New Roman" w:hAnsi="Times New Roman" w:cs="Times New Roman"/>
          <w:i/>
          <w:color w:val="000000"/>
          <w:sz w:val="28"/>
          <w:szCs w:val="28"/>
        </w:rPr>
        <w:t>тыс. руб.), за с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B62E4">
        <w:rPr>
          <w:rFonts w:ascii="Times New Roman" w:hAnsi="Times New Roman" w:cs="Times New Roman"/>
          <w:i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1046E7" w:rsidRPr="00D52A77" w:rsidRDefault="001046E7" w:rsidP="001046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829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 w:rsidR="0029646B">
        <w:rPr>
          <w:rFonts w:ascii="Times New Roman" w:hAnsi="Times New Roman" w:cs="Times New Roman"/>
          <w:i/>
          <w:sz w:val="28"/>
          <w:szCs w:val="28"/>
        </w:rPr>
        <w:t>70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29646B">
        <w:rPr>
          <w:rFonts w:ascii="Times New Roman" w:hAnsi="Times New Roman" w:cs="Times New Roman"/>
          <w:i/>
          <w:sz w:val="28"/>
          <w:szCs w:val="28"/>
        </w:rPr>
        <w:t>530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29646B">
        <w:rPr>
          <w:rFonts w:ascii="Times New Roman" w:hAnsi="Times New Roman" w:cs="Times New Roman"/>
          <w:i/>
          <w:sz w:val="28"/>
          <w:szCs w:val="28"/>
        </w:rPr>
        <w:t>72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05750D" w:rsidRDefault="001046E7" w:rsidP="006012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066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за счет республиканского бюджета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662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101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рублей.</w:t>
      </w: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9782" w:type="dxa"/>
        <w:tblInd w:w="-5" w:type="dxa"/>
        <w:tblLook w:val="04A0" w:firstRow="1" w:lastRow="0" w:firstColumn="1" w:lastColumn="0" w:noHBand="0" w:noVBand="1"/>
      </w:tblPr>
      <w:tblGrid>
        <w:gridCol w:w="6709"/>
        <w:gridCol w:w="909"/>
        <w:gridCol w:w="909"/>
        <w:gridCol w:w="624"/>
        <w:gridCol w:w="909"/>
      </w:tblGrid>
      <w:tr w:rsidR="00E92F03" w:rsidRPr="00E92F03" w:rsidTr="00415C5C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60128A" w:rsidRPr="00E92F03" w:rsidTr="00415C5C">
        <w:trPr>
          <w:trHeight w:val="129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</w:t>
            </w:r>
            <w:proofErr w:type="gramStart"/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 «</w:t>
            </w:r>
            <w:proofErr w:type="gramEnd"/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6156,38</w:t>
            </w:r>
          </w:p>
        </w:tc>
      </w:tr>
      <w:tr w:rsidR="00E92F03" w:rsidRPr="00E92F03" w:rsidTr="00415C5C">
        <w:trPr>
          <w:trHeight w:val="149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  трансферты</w:t>
            </w:r>
            <w:proofErr w:type="gramEnd"/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415C5C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26418</w:t>
            </w:r>
            <w:r w:rsidR="00601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A" w:rsidRPr="00E92F03" w:rsidRDefault="00415C5C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26418,9</w:t>
            </w:r>
          </w:p>
        </w:tc>
      </w:tr>
      <w:tr w:rsidR="00E92F03" w:rsidRPr="00E92F03" w:rsidTr="00415C5C">
        <w:trPr>
          <w:trHeight w:val="12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  организацию</w:t>
            </w:r>
            <w:proofErr w:type="gramEnd"/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415C5C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415C5C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415C5C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14208,6</w:t>
            </w:r>
          </w:p>
        </w:tc>
      </w:tr>
      <w:tr w:rsidR="0060128A" w:rsidRPr="00E92F03" w:rsidTr="00415C5C">
        <w:trPr>
          <w:trHeight w:val="12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29646B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29646B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96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29646B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10202,0</w:t>
            </w:r>
          </w:p>
        </w:tc>
      </w:tr>
      <w:tr w:rsidR="00E92F03" w:rsidRPr="00E92F03" w:rsidTr="00415C5C">
        <w:trPr>
          <w:trHeight w:val="8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поддержку муниципальных программ формирования 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городской среды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415C5C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601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5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  <w:p w:rsidR="00415C5C" w:rsidRPr="00E92F03" w:rsidRDefault="00415C5C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5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  <w:p w:rsidR="00415C5C" w:rsidRPr="00E92F03" w:rsidRDefault="00415C5C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C5C" w:rsidRPr="00E92F03" w:rsidRDefault="00415C5C" w:rsidP="00415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10202,0</w:t>
            </w:r>
          </w:p>
        </w:tc>
      </w:tr>
      <w:tr w:rsidR="0060128A" w:rsidRPr="00E92F03" w:rsidTr="00415C5C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Default="0029646B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24066,579</w:t>
            </w:r>
          </w:p>
          <w:p w:rsidR="0029646B" w:rsidRPr="00E92F03" w:rsidRDefault="0029646B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9646B" w:rsidRPr="00E92F03" w:rsidRDefault="0029646B" w:rsidP="0029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26662,095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29646B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29646B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50829,685</w:t>
            </w:r>
          </w:p>
        </w:tc>
      </w:tr>
    </w:tbl>
    <w:p w:rsidR="0054545D" w:rsidRDefault="0054545D" w:rsidP="00E92F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2850" w:rsidRDefault="0054545D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3 кв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исполнение по муниципальным программам составляет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84,27</w:t>
      </w:r>
      <w:r w:rsidR="00592850" w:rsidRP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1 млрд 207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 w:rsidRP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363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29646B">
        <w:rPr>
          <w:rFonts w:ascii="Times New Roman" w:hAnsi="Times New Roman" w:cs="Times New Roman"/>
          <w:i/>
          <w:color w:val="000000"/>
          <w:sz w:val="28"/>
          <w:szCs w:val="28"/>
        </w:rPr>
        <w:t>662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</w:p>
    <w:p w:rsidR="00CD5CE8" w:rsidRPr="00CA3AD3" w:rsidRDefault="00CD5CE8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4620"/>
        <w:gridCol w:w="1280"/>
        <w:gridCol w:w="1300"/>
        <w:gridCol w:w="1060"/>
      </w:tblGrid>
      <w:tr w:rsidR="00643908" w:rsidRPr="00643908" w:rsidTr="00643908">
        <w:trPr>
          <w:trHeight w:val="240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1432662,90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1207363,96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84,27</w:t>
            </w:r>
            <w:r w:rsidR="00643908"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41687,875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30063,83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29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81249,812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70885,73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29646B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765755,534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765755,534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11209,85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8992,81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11693,705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106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5D0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679,41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21111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 w:rsid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4,98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606,98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388,22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</w:t>
            </w:r>
            <w:r w:rsidR="00800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1274,99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1034,8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81,16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2667,92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27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"Борьба с</w:t>
            </w:r>
            <w:r w:rsidR="001978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болезнями системы кровообращения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9D77F6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192298,491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158078,89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82,21</w:t>
            </w:r>
            <w:r w:rsidR="00643908"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273145,13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251947,44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туризма в Улуг-Хемском кожууне"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202,02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0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 дополнительных мерах по борьбе с туберкулезом в Улуг-Хемском кожууне"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5D0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5D0225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,0%</w:t>
            </w:r>
          </w:p>
        </w:tc>
      </w:tr>
    </w:tbl>
    <w:p w:rsidR="00643908" w:rsidRDefault="00643908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первый квартал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382158">
        <w:rPr>
          <w:rFonts w:ascii="Times New Roman" w:hAnsi="Times New Roman" w:cs="Times New Roman"/>
          <w:i/>
          <w:color w:val="000000"/>
          <w:sz w:val="28"/>
          <w:szCs w:val="28"/>
        </w:rPr>
        <w:t>89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42052" w:rsidRDefault="00F42052" w:rsidP="00F4205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F42052" w:rsidRPr="00563FB4" w:rsidRDefault="00F42052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F42052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D2E1E3D"/>
    <w:multiLevelType w:val="hybridMultilevel"/>
    <w:tmpl w:val="9172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8"/>
  </w:num>
  <w:num w:numId="2">
    <w:abstractNumId w:val="40"/>
  </w:num>
  <w:num w:numId="3">
    <w:abstractNumId w:val="11"/>
  </w:num>
  <w:num w:numId="4">
    <w:abstractNumId w:val="17"/>
  </w:num>
  <w:num w:numId="5">
    <w:abstractNumId w:val="31"/>
  </w:num>
  <w:num w:numId="6">
    <w:abstractNumId w:val="10"/>
  </w:num>
  <w:num w:numId="7">
    <w:abstractNumId w:val="19"/>
  </w:num>
  <w:num w:numId="8">
    <w:abstractNumId w:val="0"/>
  </w:num>
  <w:num w:numId="9">
    <w:abstractNumId w:val="39"/>
  </w:num>
  <w:num w:numId="10">
    <w:abstractNumId w:val="36"/>
  </w:num>
  <w:num w:numId="11">
    <w:abstractNumId w:val="3"/>
  </w:num>
  <w:num w:numId="12">
    <w:abstractNumId w:val="28"/>
  </w:num>
  <w:num w:numId="13">
    <w:abstractNumId w:val="18"/>
  </w:num>
  <w:num w:numId="14">
    <w:abstractNumId w:val="22"/>
  </w:num>
  <w:num w:numId="15">
    <w:abstractNumId w:val="23"/>
  </w:num>
  <w:num w:numId="16">
    <w:abstractNumId w:val="42"/>
  </w:num>
  <w:num w:numId="17">
    <w:abstractNumId w:val="16"/>
  </w:num>
  <w:num w:numId="18">
    <w:abstractNumId w:val="6"/>
  </w:num>
  <w:num w:numId="19">
    <w:abstractNumId w:val="21"/>
  </w:num>
  <w:num w:numId="20">
    <w:abstractNumId w:val="35"/>
  </w:num>
  <w:num w:numId="21">
    <w:abstractNumId w:val="37"/>
  </w:num>
  <w:num w:numId="22">
    <w:abstractNumId w:val="33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30"/>
  </w:num>
  <w:num w:numId="28">
    <w:abstractNumId w:val="25"/>
  </w:num>
  <w:num w:numId="29">
    <w:abstractNumId w:val="14"/>
  </w:num>
  <w:num w:numId="30">
    <w:abstractNumId w:val="26"/>
  </w:num>
  <w:num w:numId="31">
    <w:abstractNumId w:val="32"/>
  </w:num>
  <w:num w:numId="32">
    <w:abstractNumId w:val="34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9"/>
  </w:num>
  <w:num w:numId="40">
    <w:abstractNumId w:val="9"/>
  </w:num>
  <w:num w:numId="41">
    <w:abstractNumId w:val="8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50D"/>
    <w:rsid w:val="00057B4B"/>
    <w:rsid w:val="00061157"/>
    <w:rsid w:val="00062662"/>
    <w:rsid w:val="00062A74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5FA8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8EF"/>
    <w:rsid w:val="00197DF9"/>
    <w:rsid w:val="001B75D3"/>
    <w:rsid w:val="001C11B3"/>
    <w:rsid w:val="001C41D1"/>
    <w:rsid w:val="001C6F43"/>
    <w:rsid w:val="001D0449"/>
    <w:rsid w:val="001D180E"/>
    <w:rsid w:val="001D3529"/>
    <w:rsid w:val="001D7A4D"/>
    <w:rsid w:val="001E0C74"/>
    <w:rsid w:val="001E3E24"/>
    <w:rsid w:val="00200ACC"/>
    <w:rsid w:val="00201871"/>
    <w:rsid w:val="002025A2"/>
    <w:rsid w:val="0020378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46B"/>
    <w:rsid w:val="00296F7F"/>
    <w:rsid w:val="002A1EEA"/>
    <w:rsid w:val="002A28A3"/>
    <w:rsid w:val="002A6A79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5838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AC7"/>
    <w:rsid w:val="00337FE9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65DD1"/>
    <w:rsid w:val="0037077C"/>
    <w:rsid w:val="00371564"/>
    <w:rsid w:val="003725B4"/>
    <w:rsid w:val="00382158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15D7"/>
    <w:rsid w:val="003F17FE"/>
    <w:rsid w:val="003F24A7"/>
    <w:rsid w:val="003F3377"/>
    <w:rsid w:val="003F6720"/>
    <w:rsid w:val="00400923"/>
    <w:rsid w:val="00402DA1"/>
    <w:rsid w:val="0040421C"/>
    <w:rsid w:val="0040770F"/>
    <w:rsid w:val="00412507"/>
    <w:rsid w:val="00415C5C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638F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79B3"/>
    <w:rsid w:val="00530E78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3433"/>
    <w:rsid w:val="00557138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C5EFB"/>
    <w:rsid w:val="005D0225"/>
    <w:rsid w:val="005D3A0B"/>
    <w:rsid w:val="005D46B3"/>
    <w:rsid w:val="005E1706"/>
    <w:rsid w:val="005E6EEA"/>
    <w:rsid w:val="005F1F47"/>
    <w:rsid w:val="005F56B8"/>
    <w:rsid w:val="005F5CC2"/>
    <w:rsid w:val="005F743B"/>
    <w:rsid w:val="005F76DF"/>
    <w:rsid w:val="00600CF7"/>
    <w:rsid w:val="00600EA9"/>
    <w:rsid w:val="0060128A"/>
    <w:rsid w:val="0060386F"/>
    <w:rsid w:val="006050CD"/>
    <w:rsid w:val="00605AE2"/>
    <w:rsid w:val="00606B13"/>
    <w:rsid w:val="00612899"/>
    <w:rsid w:val="00614946"/>
    <w:rsid w:val="006158D8"/>
    <w:rsid w:val="00622A99"/>
    <w:rsid w:val="00623AE2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82CD5"/>
    <w:rsid w:val="00686944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44F29"/>
    <w:rsid w:val="007520B7"/>
    <w:rsid w:val="00755061"/>
    <w:rsid w:val="00755A34"/>
    <w:rsid w:val="00756046"/>
    <w:rsid w:val="007577AE"/>
    <w:rsid w:val="00761835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E6BCC"/>
    <w:rsid w:val="007F08A9"/>
    <w:rsid w:val="007F4420"/>
    <w:rsid w:val="007F4D1E"/>
    <w:rsid w:val="007F7195"/>
    <w:rsid w:val="00800622"/>
    <w:rsid w:val="008007DC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97A"/>
    <w:rsid w:val="008B7B57"/>
    <w:rsid w:val="008B7C00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1BBA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28"/>
    <w:rsid w:val="009B206F"/>
    <w:rsid w:val="009B2508"/>
    <w:rsid w:val="009B5DB8"/>
    <w:rsid w:val="009B62E4"/>
    <w:rsid w:val="009B7A13"/>
    <w:rsid w:val="009C25AF"/>
    <w:rsid w:val="009D10F0"/>
    <w:rsid w:val="009D2560"/>
    <w:rsid w:val="009D2C39"/>
    <w:rsid w:val="009D33A4"/>
    <w:rsid w:val="009D37B0"/>
    <w:rsid w:val="009D68DC"/>
    <w:rsid w:val="009D77F6"/>
    <w:rsid w:val="009D7DA6"/>
    <w:rsid w:val="009E145A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5488"/>
    <w:rsid w:val="00A47F03"/>
    <w:rsid w:val="00A51BE8"/>
    <w:rsid w:val="00A535DB"/>
    <w:rsid w:val="00A539B7"/>
    <w:rsid w:val="00A545D3"/>
    <w:rsid w:val="00A577D1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2BDD"/>
    <w:rsid w:val="00B77E3A"/>
    <w:rsid w:val="00B814FE"/>
    <w:rsid w:val="00B81F75"/>
    <w:rsid w:val="00B87BBA"/>
    <w:rsid w:val="00B90735"/>
    <w:rsid w:val="00B94111"/>
    <w:rsid w:val="00BA1990"/>
    <w:rsid w:val="00BA2B37"/>
    <w:rsid w:val="00BA5660"/>
    <w:rsid w:val="00BB2E60"/>
    <w:rsid w:val="00BB5153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F21C6"/>
    <w:rsid w:val="00BF4839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3AD3"/>
    <w:rsid w:val="00CA5324"/>
    <w:rsid w:val="00CA7BED"/>
    <w:rsid w:val="00CB5241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D5CE8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6173"/>
    <w:rsid w:val="00D21FD3"/>
    <w:rsid w:val="00D22C1C"/>
    <w:rsid w:val="00D34886"/>
    <w:rsid w:val="00D34C38"/>
    <w:rsid w:val="00D35DFB"/>
    <w:rsid w:val="00D36788"/>
    <w:rsid w:val="00D373F6"/>
    <w:rsid w:val="00D40912"/>
    <w:rsid w:val="00D441E1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C747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6F6"/>
    <w:rsid w:val="00E50DD1"/>
    <w:rsid w:val="00E52083"/>
    <w:rsid w:val="00E52D7A"/>
    <w:rsid w:val="00E542DE"/>
    <w:rsid w:val="00E54309"/>
    <w:rsid w:val="00E545A3"/>
    <w:rsid w:val="00E56727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A6A72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D5E78"/>
    <w:rsid w:val="00EE1091"/>
    <w:rsid w:val="00EE154E"/>
    <w:rsid w:val="00EE2ABF"/>
    <w:rsid w:val="00EE3345"/>
    <w:rsid w:val="00EF0897"/>
    <w:rsid w:val="00EF373B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2052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09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3 квартал 2021-2023 годы</a:t>
            </a:r>
          </a:p>
        </c:rich>
      </c:tx>
      <c:layout>
        <c:manualLayout>
          <c:xMode val="edge"/>
          <c:yMode val="edge"/>
          <c:x val="0.14245335612118254"/>
          <c:y val="3.592465306477575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01.10.2021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86274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BE-46AE-97E0-ABE4D611CE99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BE-46AE-97E0-ABE4D611CE99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BE-46AE-97E0-ABE4D611C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86274</c:v>
                </c:pt>
                <c:pt idx="1">
                  <c:v>71178</c:v>
                </c:pt>
                <c:pt idx="2">
                  <c:v>13510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BE-46AE-97E0-ABE4D611CE99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01.10.2022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92665</c:v>
                </c:pt>
                <c:pt idx="1">
                  <c:v>74321</c:v>
                </c:pt>
                <c:pt idx="2">
                  <c:v>18344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BE-46AE-97E0-ABE4D611CE99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01.10.2023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104498</c:v>
                </c:pt>
                <c:pt idx="1">
                  <c:v>86511</c:v>
                </c:pt>
                <c:pt idx="2">
                  <c:v>17987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BE-46AE-97E0-ABE4D611CE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F7-4F8E-9E19-7747FB13C2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F7-4F8E-9E19-7747FB13C2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F7-4F8E-9E19-7747FB13C2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F7-4F8E-9E19-7747FB13C2F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8F7-4F8E-9E19-7747FB13C2F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8F7-4F8E-9E19-7747FB13C2F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8F7-4F8E-9E19-7747FB13C2F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8F7-4F8E-9E19-7747FB13C2F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8F7-4F8E-9E19-7747FB13C2F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8F7-4F8E-9E19-7747FB13C2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Имущественные налоги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0.77</c:v>
                </c:pt>
                <c:pt idx="1">
                  <c:v>4.2999999999999997E-2</c:v>
                </c:pt>
                <c:pt idx="2">
                  <c:v>0.03</c:v>
                </c:pt>
                <c:pt idx="3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8F7-4F8E-9E19-7747FB13C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3 квартал 2021-2023</a:t>
            </a:r>
            <a:r>
              <a:rPr lang="ru-RU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3 квартал 2021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2F7-4CC3-B9C9-2A5D5EA984F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2F7-4CC3-B9C9-2A5D5EA984F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2F7-4CC3-B9C9-2A5D5EA984F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2F7-4CC3-B9C9-2A5D5EA984F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2F7-4CC3-B9C9-2A5D5EA984F9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86274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F7-4CC3-B9C9-2A5D5EA984F9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F7-4CC3-B9C9-2A5D5EA984F9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F7-4CC3-B9C9-2A5D5EA984F9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F7-4CC3-B9C9-2A5D5EA984F9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F7-4CC3-B9C9-2A5D5EA98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86274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42F7-4CC3-B9C9-2A5D5EA984F9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3 квартал 2022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F7-4CC3-B9C9-2A5D5EA98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92665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42F7-4CC3-B9C9-2A5D5EA984F9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3 квартал 2023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2F7-4CC3-B9C9-2A5D5EA98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104498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42F7-4CC3-B9C9-2A5D5EA98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01.10.2023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01.10.2022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91-4723-B7BF-8C1DC931B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Лист6!$C$6:$D$6</c:f>
              <c:numCache>
                <c:formatCode>General</c:formatCode>
                <c:ptCount val="2"/>
                <c:pt idx="0">
                  <c:v>517</c:v>
                </c:pt>
                <c:pt idx="1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1-4723-B7BF-8C1DC931B6DC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01.10.2023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1-4723-B7BF-8C1DC931B6DC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91-4723-B7BF-8C1DC931B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Лист6!$C$7:$D$7</c:f>
              <c:numCache>
                <c:formatCode>General</c:formatCode>
                <c:ptCount val="2"/>
                <c:pt idx="0">
                  <c:v>267</c:v>
                </c:pt>
                <c:pt idx="1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91-4723-B7BF-8C1DC931B6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805E-385A-4DAA-8327-18547CC4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44</cp:revision>
  <cp:lastPrinted>2022-05-25T11:48:00Z</cp:lastPrinted>
  <dcterms:created xsi:type="dcterms:W3CDTF">2022-03-17T09:57:00Z</dcterms:created>
  <dcterms:modified xsi:type="dcterms:W3CDTF">2023-11-01T09:01:00Z</dcterms:modified>
</cp:coreProperties>
</file>