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перв</w:t>
      </w:r>
      <w:r w:rsidR="00FF2C03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2C03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0E9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4C3" w:rsidRDefault="007624C3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F4" w:rsidRPr="000A705F" w:rsidRDefault="00D212F4" w:rsidP="00D212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3768"/>
        <w:gridCol w:w="2210"/>
        <w:gridCol w:w="2204"/>
        <w:gridCol w:w="1875"/>
      </w:tblGrid>
      <w:tr w:rsidR="00D212F4" w:rsidRPr="00B90E9A" w:rsidTr="00DE1105">
        <w:trPr>
          <w:trHeight w:val="29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FF2C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FF2C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полугодие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="00FF2C0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полугодие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2024</w:t>
            </w:r>
          </w:p>
        </w:tc>
      </w:tr>
      <w:tr w:rsidR="00D212F4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C62B9D" w:rsidRPr="00B90E9A" w:rsidTr="00DE1105">
        <w:trPr>
          <w:trHeight w:val="539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446A1F" w:rsidRDefault="00C62B9D" w:rsidP="00C62B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54167B" w:rsidRDefault="00C62B9D" w:rsidP="00C62B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853871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200ACC" w:rsidRDefault="00C62B9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896638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BB095D" w:rsidRDefault="00863E0E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63E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8</w:t>
            </w:r>
            <w:r w:rsidR="00BB09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68940</w:t>
            </w:r>
          </w:p>
        </w:tc>
      </w:tr>
      <w:tr w:rsidR="00C62B9D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446A1F" w:rsidRDefault="00C62B9D" w:rsidP="00C62B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B9D" w:rsidRPr="0054167B" w:rsidRDefault="00C62B9D" w:rsidP="00C62B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62921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B9D" w:rsidRPr="00A47F03" w:rsidRDefault="00C62B9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72724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B9D" w:rsidRPr="00BB095D" w:rsidRDefault="00BB095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88954</w:t>
            </w:r>
          </w:p>
        </w:tc>
      </w:tr>
      <w:tr w:rsidR="00C62B9D" w:rsidRPr="00B90E9A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446A1F" w:rsidRDefault="00C62B9D" w:rsidP="00C62B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54167B" w:rsidRDefault="00C62B9D" w:rsidP="00C62B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790950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A47F03" w:rsidRDefault="00C62B9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825478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863E0E" w:rsidRDefault="00863E0E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863E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779987</w:t>
            </w:r>
          </w:p>
        </w:tc>
      </w:tr>
      <w:tr w:rsidR="00C62B9D" w:rsidRPr="000A705F" w:rsidTr="00DE1105">
        <w:trPr>
          <w:trHeight w:val="29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446A1F" w:rsidRDefault="00C62B9D" w:rsidP="00C62B9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54167B" w:rsidRDefault="00C62B9D" w:rsidP="00C62B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835095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157250" w:rsidRDefault="00C62B9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871658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9D" w:rsidRPr="00BB095D" w:rsidRDefault="00BB095D" w:rsidP="00C62B9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855489</w:t>
            </w:r>
          </w:p>
        </w:tc>
      </w:tr>
    </w:tbl>
    <w:p w:rsidR="00D212F4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F4" w:rsidRPr="00446A1F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A1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D212F4" w:rsidRPr="00C93ACF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За перв</w:t>
      </w:r>
      <w:r w:rsidR="00C93ACF">
        <w:rPr>
          <w:rFonts w:ascii="Times New Roman" w:hAnsi="Times New Roman" w:cs="Times New Roman"/>
          <w:i/>
          <w:sz w:val="28"/>
          <w:szCs w:val="28"/>
        </w:rPr>
        <w:t>ое полугодие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2024 года </w:t>
      </w:r>
      <w:r w:rsidRPr="00446A1F">
        <w:rPr>
          <w:rFonts w:ascii="Times New Roman" w:hAnsi="Times New Roman"/>
          <w:i/>
          <w:sz w:val="28"/>
          <w:szCs w:val="28"/>
        </w:rPr>
        <w:t xml:space="preserve">плановые назначения </w:t>
      </w:r>
      <w:r w:rsidRPr="00446A1F">
        <w:rPr>
          <w:rFonts w:ascii="Times New Roman" w:hAnsi="Times New Roman"/>
          <w:b/>
          <w:i/>
          <w:sz w:val="28"/>
          <w:szCs w:val="28"/>
        </w:rPr>
        <w:t>налоговых и неналоговых доходов</w:t>
      </w:r>
      <w:r w:rsidRPr="00446A1F">
        <w:rPr>
          <w:rFonts w:ascii="Times New Roman" w:hAnsi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Республики Тыва» </w:t>
      </w:r>
      <w:r w:rsidR="001763A1" w:rsidRPr="001763A1">
        <w:rPr>
          <w:rFonts w:ascii="Times New Roman" w:hAnsi="Times New Roman"/>
          <w:i/>
          <w:sz w:val="28"/>
          <w:szCs w:val="28"/>
        </w:rPr>
        <w:t xml:space="preserve">исполнены на 116% от утвержденного плана или перевыполнен на 11 млн 990 тыс. рублей (при плане 76 млн. 963 тыс. рублей поступило 88 млн. </w:t>
      </w:r>
      <w:r w:rsidR="00FD0E47">
        <w:rPr>
          <w:rFonts w:ascii="Times New Roman" w:hAnsi="Times New Roman"/>
          <w:i/>
          <w:sz w:val="28"/>
          <w:szCs w:val="28"/>
        </w:rPr>
        <w:t>954</w:t>
      </w:r>
      <w:r w:rsidR="001763A1" w:rsidRPr="001763A1">
        <w:rPr>
          <w:rFonts w:ascii="Times New Roman" w:hAnsi="Times New Roman"/>
          <w:i/>
          <w:sz w:val="28"/>
          <w:szCs w:val="28"/>
        </w:rPr>
        <w:t xml:space="preserve"> тыс. рублей), по сравнению с аналогичным периодом прошлого года наблюдается увеличение на 16 млн 229 тыс. рублей.</w:t>
      </w:r>
    </w:p>
    <w:p w:rsidR="00D212F4" w:rsidRPr="00B90E9A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5D279FF5" wp14:editId="5430641B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3ACF" w:rsidRPr="00C93ACF" w:rsidRDefault="00C93ACF" w:rsidP="00C93AC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ACF">
        <w:rPr>
          <w:rFonts w:ascii="Times New Roman" w:hAnsi="Times New Roman" w:cs="Times New Roman"/>
          <w:i/>
          <w:sz w:val="28"/>
          <w:szCs w:val="28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(доля в общем объеме поступлений 64%), налоги на </w:t>
      </w:r>
      <w:r w:rsidRPr="00C93A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совокупный доход или </w:t>
      </w:r>
      <w:proofErr w:type="spellStart"/>
      <w:r w:rsidRPr="00C93ACF">
        <w:rPr>
          <w:rFonts w:ascii="Times New Roman" w:hAnsi="Times New Roman" w:cs="Times New Roman"/>
          <w:i/>
          <w:sz w:val="28"/>
          <w:szCs w:val="28"/>
        </w:rPr>
        <w:t>спецрежимы</w:t>
      </w:r>
      <w:proofErr w:type="spellEnd"/>
      <w:r w:rsidRPr="00C93ACF">
        <w:rPr>
          <w:rFonts w:ascii="Times New Roman" w:hAnsi="Times New Roman" w:cs="Times New Roman"/>
          <w:i/>
          <w:sz w:val="28"/>
          <w:szCs w:val="28"/>
        </w:rPr>
        <w:t xml:space="preserve"> (13,8%),</w:t>
      </w:r>
      <w:r w:rsidR="007414A5">
        <w:rPr>
          <w:rFonts w:ascii="Times New Roman" w:hAnsi="Times New Roman" w:cs="Times New Roman"/>
          <w:i/>
          <w:sz w:val="28"/>
          <w:szCs w:val="28"/>
        </w:rPr>
        <w:t xml:space="preserve"> акцизы на нефтепродукты (2,5%)</w:t>
      </w:r>
      <w:r w:rsidRPr="00C93ACF">
        <w:rPr>
          <w:rFonts w:ascii="Times New Roman" w:hAnsi="Times New Roman" w:cs="Times New Roman"/>
          <w:i/>
          <w:sz w:val="28"/>
          <w:szCs w:val="28"/>
        </w:rPr>
        <w:t>, неналоговые доходы (11%).</w:t>
      </w:r>
    </w:p>
    <w:p w:rsidR="00D212F4" w:rsidRPr="00B90E9A" w:rsidRDefault="00D212F4" w:rsidP="00D212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5F7D3214" wp14:editId="60F71409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3ACF" w:rsidRPr="00C93ACF" w:rsidRDefault="00C93ACF" w:rsidP="00C93ACF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C93ACF">
        <w:rPr>
          <w:rFonts w:ascii="Times New Roman" w:hAnsi="Times New Roman"/>
          <w:i/>
          <w:sz w:val="28"/>
          <w:szCs w:val="28"/>
        </w:rPr>
        <w:t>В бюджеты поселений собственные доходы поступили в сумме 19 млн 079 тыс. рублей, исполнение на 132% от утвержденного плана или перевыполнен на 4 млн 638 тыс. рублей (при плане 14 млн 441 тыс. рублей), по сравнению с аналогичным периодом прошлого года наблюдается увеличение на +6 млн 996 тыс. рублей.</w:t>
      </w:r>
    </w:p>
    <w:p w:rsidR="00D212F4" w:rsidRPr="00446A1F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212F4" w:rsidRPr="00446A1F" w:rsidRDefault="00D212F4" w:rsidP="00D212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Выполнение плана налоговых и неналоговых доходов в разрезе сельских поселений за </w:t>
      </w:r>
      <w:r w:rsidR="00C93ACF">
        <w:rPr>
          <w:rFonts w:ascii="Times New Roman" w:hAnsi="Times New Roman" w:cs="Times New Roman"/>
          <w:i/>
          <w:sz w:val="28"/>
          <w:szCs w:val="28"/>
        </w:rPr>
        <w:t>первое полугодие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 2024 года</w:t>
      </w:r>
    </w:p>
    <w:tbl>
      <w:tblPr>
        <w:tblW w:w="9497" w:type="dxa"/>
        <w:tblInd w:w="91" w:type="dxa"/>
        <w:tblLook w:val="04A0" w:firstRow="1" w:lastRow="0" w:firstColumn="1" w:lastColumn="0" w:noHBand="0" w:noVBand="1"/>
      </w:tblPr>
      <w:tblGrid>
        <w:gridCol w:w="3298"/>
        <w:gridCol w:w="1722"/>
        <w:gridCol w:w="1550"/>
        <w:gridCol w:w="1586"/>
        <w:gridCol w:w="1341"/>
      </w:tblGrid>
      <w:tr w:rsidR="00C93ACF" w:rsidRPr="00C22F8E" w:rsidTr="00DE1105">
        <w:trPr>
          <w:trHeight w:val="578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январь-июнь 2023</w:t>
            </w:r>
          </w:p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>План за январь-июнь 2024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январь-июнь 2024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proofErr w:type="spellStart"/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>вып</w:t>
            </w:r>
            <w:proofErr w:type="spellEnd"/>
            <w:r w:rsidRPr="00DE1105">
              <w:rPr>
                <w:rFonts w:ascii="Times New Roman" w:hAnsi="Times New Roman" w:cs="Times New Roman"/>
                <w:b/>
                <w:bCs/>
                <w:sz w:val="20"/>
              </w:rPr>
              <w:t>. плана</w:t>
            </w:r>
          </w:p>
        </w:tc>
      </w:tr>
      <w:tr w:rsidR="00C93ACF" w:rsidRPr="00C22F8E" w:rsidTr="00DE1105">
        <w:trPr>
          <w:trHeight w:val="509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CF" w:rsidRPr="00DE1105" w:rsidRDefault="00C93ACF" w:rsidP="006B46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CF" w:rsidRPr="00DE1105" w:rsidRDefault="00C93ACF" w:rsidP="006B46C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CF" w:rsidRPr="00DE1105" w:rsidRDefault="00C93ACF" w:rsidP="006B46C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CF" w:rsidRPr="00DE1105" w:rsidRDefault="00C93ACF" w:rsidP="006B46C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CF" w:rsidRPr="00DE1105" w:rsidRDefault="00C93ACF" w:rsidP="006B46C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C93ACF" w:rsidRPr="00C22F8E" w:rsidTr="00DE1105">
        <w:trPr>
          <w:trHeight w:val="16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Бюджет сельских поселений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12083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14441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19079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132%</w:t>
            </w:r>
          </w:p>
        </w:tc>
      </w:tr>
      <w:tr w:rsidR="00C93ACF" w:rsidRPr="00C22F8E" w:rsidTr="00DE1105">
        <w:trPr>
          <w:trHeight w:val="153"/>
        </w:trPr>
        <w:tc>
          <w:tcPr>
            <w:tcW w:w="3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DE1105">
              <w:rPr>
                <w:rFonts w:ascii="Times New Roman" w:hAnsi="Times New Roman" w:cs="Times New Roman"/>
                <w:iCs/>
                <w:sz w:val="20"/>
              </w:rPr>
              <w:t>в том числе: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3ACF" w:rsidRPr="00C22F8E" w:rsidTr="00DE1105">
        <w:trPr>
          <w:trHeight w:val="274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1. Шагонар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11620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12997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18210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140%</w:t>
            </w:r>
          </w:p>
        </w:tc>
      </w:tr>
      <w:tr w:rsidR="00C93ACF" w:rsidRPr="00C22F8E" w:rsidTr="00DE1105">
        <w:trPr>
          <w:trHeight w:val="128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Арыг-Узуу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-12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81%</w:t>
            </w:r>
          </w:p>
        </w:tc>
      </w:tr>
      <w:tr w:rsidR="00C93ACF" w:rsidRPr="00C22F8E" w:rsidTr="00DE1105">
        <w:trPr>
          <w:trHeight w:val="170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3. Арыскан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45%</w:t>
            </w:r>
          </w:p>
        </w:tc>
      </w:tr>
      <w:tr w:rsidR="00C93ACF" w:rsidRPr="00C22F8E" w:rsidTr="00DE1105">
        <w:trPr>
          <w:trHeight w:val="213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4.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Иштии-Хем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59%</w:t>
            </w:r>
          </w:p>
        </w:tc>
      </w:tr>
      <w:tr w:rsidR="00C93ACF" w:rsidRPr="00C22F8E" w:rsidTr="00DE1105">
        <w:trPr>
          <w:trHeight w:val="254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5. Ийи-Тал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C93ACF" w:rsidRPr="00C22F8E" w:rsidTr="00DE1105">
        <w:trPr>
          <w:trHeight w:val="170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6.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Арыг-Бажы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105%</w:t>
            </w:r>
          </w:p>
        </w:tc>
      </w:tr>
      <w:tr w:rsidR="00C93ACF" w:rsidRPr="00C22F8E" w:rsidTr="00DE1105">
        <w:trPr>
          <w:trHeight w:val="248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7.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Чааты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44%</w:t>
            </w:r>
          </w:p>
        </w:tc>
      </w:tr>
      <w:tr w:rsidR="00C93ACF" w:rsidRPr="00C22F8E" w:rsidTr="00DE1105">
        <w:trPr>
          <w:trHeight w:val="77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8.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Торгалыг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66%</w:t>
            </w:r>
          </w:p>
        </w:tc>
      </w:tr>
      <w:tr w:rsidR="00C93ACF" w:rsidRPr="00C22F8E" w:rsidTr="00DE1105">
        <w:trPr>
          <w:trHeight w:val="55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9. Хайыракан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65%</w:t>
            </w:r>
          </w:p>
        </w:tc>
      </w:tr>
      <w:tr w:rsidR="00C93ACF" w:rsidRPr="00C22F8E" w:rsidTr="00DE1105">
        <w:trPr>
          <w:trHeight w:val="335"/>
        </w:trPr>
        <w:tc>
          <w:tcPr>
            <w:tcW w:w="3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ACF" w:rsidRPr="00DE1105" w:rsidRDefault="00C93ACF" w:rsidP="006B46C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 xml:space="preserve">    10. </w:t>
            </w:r>
            <w:proofErr w:type="spellStart"/>
            <w:r w:rsidRPr="00DE1105">
              <w:rPr>
                <w:rFonts w:ascii="Times New Roman" w:hAnsi="Times New Roman" w:cs="Times New Roman"/>
                <w:sz w:val="20"/>
              </w:rPr>
              <w:t>Эйлиг-Хем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CF" w:rsidRPr="00DE1105" w:rsidRDefault="00C93ACF" w:rsidP="006B46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1105">
              <w:rPr>
                <w:rFonts w:ascii="Times New Roman" w:hAnsi="Times New Roman" w:cs="Times New Roman"/>
                <w:sz w:val="20"/>
              </w:rPr>
              <w:t>62%</w:t>
            </w:r>
          </w:p>
        </w:tc>
      </w:tr>
    </w:tbl>
    <w:p w:rsidR="00E25AAC" w:rsidRDefault="00E25AAC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E1105" w:rsidRPr="00DE1105" w:rsidRDefault="00DE1105" w:rsidP="00DE1105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DE1105">
        <w:rPr>
          <w:rFonts w:ascii="Times New Roman" w:hAnsi="Times New Roman"/>
          <w:i/>
          <w:sz w:val="28"/>
          <w:szCs w:val="28"/>
        </w:rPr>
        <w:t xml:space="preserve">В кожуунный бюджет собственные доходы поступили в сумме 69 млн. 874 тыс. рублей, при плане 62 млн. 522 тыс. рублей исполнение составило 112% (+7 млн 352 </w:t>
      </w:r>
      <w:proofErr w:type="spellStart"/>
      <w:proofErr w:type="gramStart"/>
      <w:r w:rsidRPr="00DE1105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proofErr w:type="gramEnd"/>
      <w:r w:rsidRPr="00DE1105">
        <w:rPr>
          <w:rFonts w:ascii="Times New Roman" w:hAnsi="Times New Roman"/>
          <w:i/>
          <w:sz w:val="28"/>
          <w:szCs w:val="28"/>
        </w:rPr>
        <w:t xml:space="preserve">). По сравнению с аналогичным периодом прошлого года доходы увеличились на 9 млн 233 тыс. рублей. Объем налоговых доходов кожуунного бюджета составили 66 млн.  333 тыс. рублей. (по сравнению с аналогичным периодом прошлого года доходы увеличились на 8млн 100тыс. рублей.) и неналоговые доходы </w:t>
      </w:r>
      <w:proofErr w:type="gramStart"/>
      <w:r w:rsidRPr="00DE1105">
        <w:rPr>
          <w:rFonts w:ascii="Times New Roman" w:hAnsi="Times New Roman"/>
          <w:i/>
          <w:sz w:val="28"/>
          <w:szCs w:val="28"/>
        </w:rPr>
        <w:t>поступили  в</w:t>
      </w:r>
      <w:proofErr w:type="gramEnd"/>
      <w:r w:rsidRPr="00DE1105">
        <w:rPr>
          <w:rFonts w:ascii="Times New Roman" w:hAnsi="Times New Roman"/>
          <w:i/>
          <w:sz w:val="28"/>
          <w:szCs w:val="28"/>
        </w:rPr>
        <w:t xml:space="preserve"> сумме 3 млн 541 тыс. рублей (по сравнению с аналогичным периодом прошлого года доходы увеличились на 1 млн 133 тыс. рублей).</w:t>
      </w:r>
    </w:p>
    <w:p w:rsidR="00D212F4" w:rsidRPr="00B90E9A" w:rsidRDefault="00D212F4" w:rsidP="00D212F4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01C89742" wp14:editId="075F675E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плана з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DE1105">
        <w:rPr>
          <w:rFonts w:ascii="Times New Roman" w:hAnsi="Times New Roman" w:cs="Times New Roman"/>
          <w:i/>
          <w:sz w:val="28"/>
          <w:szCs w:val="28"/>
        </w:rPr>
        <w:t>первое полугодие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 2024 года в разрезе доходных источников выглядит следующим образом:</w:t>
      </w:r>
    </w:p>
    <w:p w:rsidR="00DE1105" w:rsidRPr="00DE1105" w:rsidRDefault="00DE1105" w:rsidP="00DE11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>Налоговые доходы консолидированного бюджета Улуг-Хемского кожууна</w:t>
      </w:r>
    </w:p>
    <w:p w:rsidR="00DE1105" w:rsidRPr="00DE1105" w:rsidRDefault="00DE1105" w:rsidP="00DE1105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i/>
          <w:spacing w:val="0"/>
          <w:sz w:val="28"/>
          <w:szCs w:val="28"/>
          <w:highlight w:val="yellow"/>
        </w:rPr>
      </w:pPr>
      <w:r w:rsidRPr="00DE1105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Налог на доходы физических лиц</w:t>
      </w:r>
      <w:r w:rsidRPr="00DE110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 xml:space="preserve">поступил в сумме 57 млн 465 тыс. рублей, </w:t>
      </w:r>
      <w:proofErr w:type="gramStart"/>
      <w:r w:rsidRPr="00DE1105">
        <w:rPr>
          <w:rFonts w:ascii="Times New Roman" w:hAnsi="Times New Roman" w:cs="Times New Roman"/>
          <w:b w:val="0"/>
          <w:i/>
          <w:sz w:val="28"/>
          <w:szCs w:val="28"/>
        </w:rPr>
        <w:t>при  плане</w:t>
      </w:r>
      <w:proofErr w:type="gramEnd"/>
      <w:r w:rsidRPr="00DE1105">
        <w:rPr>
          <w:rFonts w:ascii="Times New Roman" w:hAnsi="Times New Roman" w:cs="Times New Roman"/>
          <w:b w:val="0"/>
          <w:i/>
          <w:sz w:val="28"/>
          <w:szCs w:val="28"/>
        </w:rPr>
        <w:t xml:space="preserve"> за </w:t>
      </w:r>
      <w:r w:rsidR="00FD0E47" w:rsidRPr="00FD0E47">
        <w:rPr>
          <w:rFonts w:ascii="Times New Roman" w:hAnsi="Times New Roman" w:cs="Times New Roman"/>
          <w:b w:val="0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57 млн. 939 тыс. рублей исполнение 99% (-474 тыс. рублей). По сравнению с аналогичным периодом прошлого года доходы увеличились на +1 млн 193 тыс. рублей.</w:t>
      </w:r>
    </w:p>
    <w:p w:rsidR="00DE1105" w:rsidRPr="00DE1105" w:rsidRDefault="00DE1105" w:rsidP="00DE1105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Доходы от уплаты акцизов на нефтепродукты поступили в сумме 2 млн 261 тыс. рублей,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при  плане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2 млн 300 тыс. рублей исполнение на 98% (-39тыс. рублей). По сравнению с аналогичным периодом прошлого года </w:t>
      </w:r>
      <w:r w:rsidRPr="00DE1105">
        <w:rPr>
          <w:rFonts w:ascii="Times New Roman" w:hAnsi="Times New Roman" w:cs="Times New Roman"/>
          <w:bCs/>
          <w:i/>
          <w:sz w:val="28"/>
          <w:szCs w:val="28"/>
        </w:rPr>
        <w:t>доходы увеличились</w:t>
      </w:r>
      <w:r w:rsidRPr="00DE11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на 1,1 раза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или  +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>230тыс. рублей.</w:t>
      </w:r>
    </w:p>
    <w:p w:rsidR="00DE1105" w:rsidRPr="00DE1105" w:rsidRDefault="00DE1105" w:rsidP="00DE110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упрощенной системы налогообложения поступил в сумме 10 млн 585тыс. рублей,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при  плане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>4 млн 384 тыс. рублей перевыполнен на 241% (+6 млн 201 тыс. рублей). По сравнению с аналогичным периодом прошлого года доходы увеличились на 1,9 раза или +5 млн 170 тыс. рублей.</w:t>
      </w:r>
    </w:p>
    <w:p w:rsidR="00DE1105" w:rsidRPr="00DE1105" w:rsidRDefault="00DE1105" w:rsidP="00DE110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поступил в сумме 201 тыс. рублей,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132 тыс. рублей перевыполнен на 152% (+69тыс.рублей). По сравнению с аналогичным периодом прошлого года доходы с приростом на 1,4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раза  или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+59тыс. рублей .</w:t>
      </w:r>
    </w:p>
    <w:p w:rsidR="00DE1105" w:rsidRPr="00DE1105" w:rsidRDefault="00DE1105" w:rsidP="00DE110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Государственная пошлина поступила в сумме 1 млн 953 тыс. рублей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1 млн 628 тыс. рублей перевыполнен на 119% (+325 </w:t>
      </w:r>
      <w:proofErr w:type="spellStart"/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тыс.рублей</w:t>
      </w:r>
      <w:proofErr w:type="spellEnd"/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).  По сравнению с аналогичным периодом прошлого года доходы уменьшились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на  -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>73тыс. рублей .</w:t>
      </w:r>
    </w:p>
    <w:p w:rsidR="00DE1105" w:rsidRPr="00DE1105" w:rsidRDefault="00DE1105" w:rsidP="00DE11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>Неналоговые доходы консолидированного бюджета Улуг-Хемского кожууна</w:t>
      </w:r>
    </w:p>
    <w:p w:rsidR="00DE1105" w:rsidRPr="00DE1105" w:rsidRDefault="00DE1105" w:rsidP="00DE110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Доходы от аренды земельных участков поступили в сумме 6 млн 798тыс. рублей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>1млн 761тыс. рублей перевыполнен на 386% (+5млн 037тыс. рублей). По сравнению с аналогичным периодом прошлого года доходы увеличились на 3,4 раза или +4млн 844тыс. рублей, в связи с поступлением задолженности по арендным платежам.</w:t>
      </w:r>
    </w:p>
    <w:p w:rsidR="00DE1105" w:rsidRPr="00DE1105" w:rsidRDefault="00DE1105" w:rsidP="00DE1105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Доходы от аренды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имущества  поступили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в сумме 481тыс. рублей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>553тыс. рублей перевыполнен на 171% (+230 тыс. рублей). По сравнению с аналогичным периодом прошлого года доходы увеличились на 1,4% или +166 тыс. рублей.</w:t>
      </w:r>
    </w:p>
    <w:p w:rsidR="00DE1105" w:rsidRPr="00DE1105" w:rsidRDefault="00DE1105" w:rsidP="00DE11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поступили в сумме 287 тыс. рублей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>первое полугодие 2024 года</w:t>
      </w:r>
      <w:r w:rsidR="00FD0E47" w:rsidRPr="0044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272 тыс. рублей перевыполнен на 105%. По сравнению с аналогичным периодом прошлого года доходы увеличились на 1,1 раза или +29 тыс.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рублей,  в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связи с анализом учреждений Улуг-Хемского кожууна и с своевременной оплатой за негативное воздействие на окружающую среду.</w:t>
      </w:r>
    </w:p>
    <w:p w:rsidR="00DE1105" w:rsidRPr="00DE1105" w:rsidRDefault="00DE1105" w:rsidP="00DE11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 xml:space="preserve">Доходы от продажи земельных участков поступили в сумме 1 млн 063 тыс. рублей, при плане за </w:t>
      </w:r>
      <w:r w:rsidR="00FD0E47" w:rsidRPr="00FD0E47">
        <w:rPr>
          <w:rFonts w:ascii="Times New Roman" w:hAnsi="Times New Roman" w:cs="Times New Roman"/>
          <w:i/>
          <w:sz w:val="28"/>
          <w:szCs w:val="28"/>
        </w:rPr>
        <w:t xml:space="preserve">первое полугодие 2024 года 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669 тыс. рублей перевыполнен на 159% (+394тыс. рублей), в связи с увеличением проводимых аукционов на территории г. Шагонар. По сравнению с аналогичным периодом прошлого года доходы увеличились </w:t>
      </w:r>
      <w:proofErr w:type="gramStart"/>
      <w:r w:rsidRPr="00DE1105">
        <w:rPr>
          <w:rFonts w:ascii="Times New Roman" w:hAnsi="Times New Roman" w:cs="Times New Roman"/>
          <w:i/>
          <w:sz w:val="28"/>
          <w:szCs w:val="28"/>
        </w:rPr>
        <w:t>на  70</w:t>
      </w:r>
      <w:proofErr w:type="gramEnd"/>
      <w:r w:rsidRPr="00DE1105">
        <w:rPr>
          <w:rFonts w:ascii="Times New Roman" w:hAnsi="Times New Roman" w:cs="Times New Roman"/>
          <w:i/>
          <w:sz w:val="28"/>
          <w:szCs w:val="28"/>
        </w:rPr>
        <w:t xml:space="preserve"> тыс. рублей. </w:t>
      </w:r>
    </w:p>
    <w:p w:rsidR="00D212F4" w:rsidRPr="00DE1105" w:rsidRDefault="00DE1105" w:rsidP="00DE1105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105">
        <w:rPr>
          <w:rFonts w:ascii="Times New Roman" w:hAnsi="Times New Roman" w:cs="Times New Roman"/>
          <w:i/>
          <w:sz w:val="28"/>
          <w:szCs w:val="28"/>
        </w:rPr>
        <w:t>Штрафные санкции поступили в сумме 226 тыс. рублей, при плане</w:t>
      </w:r>
      <w:r w:rsidR="00C95C97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Pr="00DE11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5C97" w:rsidRPr="00C95C97">
        <w:rPr>
          <w:rFonts w:ascii="Times New Roman" w:hAnsi="Times New Roman" w:cs="Times New Roman"/>
          <w:i/>
          <w:sz w:val="28"/>
          <w:szCs w:val="28"/>
        </w:rPr>
        <w:t xml:space="preserve">первое полугодие 2024 года </w:t>
      </w:r>
      <w:r w:rsidRPr="00DE1105">
        <w:rPr>
          <w:rFonts w:ascii="Times New Roman" w:hAnsi="Times New Roman" w:cs="Times New Roman"/>
          <w:i/>
          <w:sz w:val="28"/>
          <w:szCs w:val="28"/>
        </w:rPr>
        <w:t>254 тыс. рублей выполнение на 89% (-28тыс. рублей). По сравнению с аналогичным периодом прошлого года доходы уменьшились на 38 тыс. рублей.</w:t>
      </w:r>
    </w:p>
    <w:p w:rsidR="00D212F4" w:rsidRPr="008306E3" w:rsidRDefault="00D212F4" w:rsidP="00D212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576">
        <w:rPr>
          <w:rFonts w:ascii="Times New Roman" w:hAnsi="Times New Roman" w:cs="Times New Roman"/>
          <w:i/>
          <w:sz w:val="28"/>
          <w:szCs w:val="28"/>
        </w:rPr>
        <w:t xml:space="preserve">Также, еще одной основной задачей является сбор имущественных налогов. По состоянию на 01 </w:t>
      </w:r>
      <w:r w:rsidR="007414A5">
        <w:rPr>
          <w:rFonts w:ascii="Times New Roman" w:hAnsi="Times New Roman" w:cs="Times New Roman"/>
          <w:i/>
          <w:sz w:val="28"/>
          <w:szCs w:val="28"/>
        </w:rPr>
        <w:t>июля</w:t>
      </w:r>
      <w:r w:rsidRPr="00AD7576">
        <w:rPr>
          <w:rFonts w:ascii="Times New Roman" w:hAnsi="Times New Roman" w:cs="Times New Roman"/>
          <w:i/>
          <w:sz w:val="28"/>
          <w:szCs w:val="28"/>
        </w:rPr>
        <w:t xml:space="preserve"> 2024 года поступление по имущественным налогам составляет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306E3">
        <w:rPr>
          <w:rFonts w:ascii="Times New Roman" w:hAnsi="Times New Roman" w:cs="Times New Roman"/>
          <w:i/>
          <w:sz w:val="28"/>
          <w:szCs w:val="28"/>
        </w:rPr>
        <w:t>824</w:t>
      </w:r>
      <w:r w:rsidRPr="00AD7576">
        <w:rPr>
          <w:rFonts w:ascii="Times New Roman" w:hAnsi="Times New Roman" w:cs="Times New Roman"/>
          <w:i/>
          <w:sz w:val="28"/>
          <w:szCs w:val="28"/>
        </w:rPr>
        <w:t xml:space="preserve"> тыс. руб.,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7576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8306E3">
        <w:rPr>
          <w:rFonts w:ascii="Times New Roman" w:hAnsi="Times New Roman" w:cs="Times New Roman"/>
          <w:i/>
          <w:sz w:val="28"/>
          <w:szCs w:val="28"/>
        </w:rPr>
        <w:t>388  тыс.</w:t>
      </w:r>
      <w:proofErr w:type="gramEnd"/>
      <w:r w:rsidR="008306E3">
        <w:rPr>
          <w:rFonts w:ascii="Times New Roman" w:hAnsi="Times New Roman" w:cs="Times New Roman"/>
          <w:i/>
          <w:sz w:val="28"/>
          <w:szCs w:val="28"/>
        </w:rPr>
        <w:t xml:space="preserve"> рублей при плане 621 тыс. рублей исполнение на 62</w:t>
      </w:r>
      <w:r w:rsidRPr="00AD7576">
        <w:rPr>
          <w:rFonts w:ascii="Times New Roman" w:hAnsi="Times New Roman" w:cs="Times New Roman"/>
          <w:i/>
          <w:sz w:val="28"/>
          <w:szCs w:val="28"/>
        </w:rPr>
        <w:t>%, по земельному налогу с физических лиц</w:t>
      </w:r>
      <w:r w:rsidRPr="00AD7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06E3">
        <w:rPr>
          <w:rFonts w:ascii="Times New Roman" w:hAnsi="Times New Roman" w:cs="Times New Roman"/>
          <w:i/>
          <w:sz w:val="28"/>
          <w:szCs w:val="28"/>
        </w:rPr>
        <w:t>436 тыс. рублей при плане 521</w:t>
      </w:r>
      <w:r w:rsidRPr="00AD7576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 w:rsidR="008306E3">
        <w:rPr>
          <w:rFonts w:ascii="Times New Roman" w:hAnsi="Times New Roman" w:cs="Times New Roman"/>
          <w:i/>
          <w:sz w:val="28"/>
          <w:szCs w:val="28"/>
        </w:rPr>
        <w:t>исполнение на 84%.</w:t>
      </w:r>
    </w:p>
    <w:p w:rsidR="00D212F4" w:rsidRPr="00B90E9A" w:rsidRDefault="00D212F4" w:rsidP="00D212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720D30F4" wp14:editId="7F1BED20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945" w:rsidRDefault="00E47945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3E0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863E0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624C3" w:rsidRPr="00A56570" w:rsidRDefault="007624C3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1 </w:t>
      </w:r>
      <w:r w:rsidR="00BD7A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полугодие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202</w:t>
      </w:r>
      <w:r w:rsidR="00B90E9A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года в сумме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63E0E" w:rsidRPr="00863E0E">
        <w:rPr>
          <w:rFonts w:ascii="Times New Roman" w:hAnsi="Times New Roman" w:cs="Times New Roman"/>
          <w:i/>
          <w:color w:val="000000"/>
          <w:sz w:val="28"/>
          <w:szCs w:val="28"/>
        </w:rPr>
        <w:t>779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863E0E" w:rsidRPr="00863E0E">
        <w:rPr>
          <w:rFonts w:ascii="Times New Roman" w:hAnsi="Times New Roman" w:cs="Times New Roman"/>
          <w:i/>
          <w:color w:val="000000"/>
          <w:sz w:val="28"/>
          <w:szCs w:val="28"/>
        </w:rPr>
        <w:t>986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,7 </w:t>
      </w:r>
      <w:r w:rsidRPr="005E47D6">
        <w:rPr>
          <w:rFonts w:ascii="Times New Roman" w:hAnsi="Times New Roman" w:cs="Times New Roman"/>
          <w:i/>
          <w:color w:val="000000"/>
          <w:sz w:val="28"/>
          <w:szCs w:val="28"/>
        </w:rPr>
        <w:t>тыс. руб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., при утвержденном плане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млрд.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511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135,9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70,5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825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478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45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491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97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918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92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996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92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2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877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565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676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63E0E">
        <w:rPr>
          <w:rFonts w:ascii="Times New Roman" w:hAnsi="Times New Roman" w:cs="Times New Roman"/>
          <w:i/>
          <w:color w:val="000000"/>
          <w:sz w:val="28"/>
          <w:szCs w:val="28"/>
        </w:rPr>
        <w:t>663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1 </w:t>
      </w:r>
      <w:r w:rsidR="00BD7A9A">
        <w:rPr>
          <w:rFonts w:ascii="Times New Roman" w:hAnsi="Times New Roman" w:cs="Times New Roman"/>
          <w:i/>
          <w:sz w:val="28"/>
          <w:szCs w:val="28"/>
        </w:rPr>
        <w:t>полугодие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90E9A">
        <w:rPr>
          <w:rFonts w:ascii="Times New Roman" w:hAnsi="Times New Roman" w:cs="Times New Roman"/>
          <w:i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7A9A">
        <w:rPr>
          <w:rFonts w:ascii="Times New Roman" w:hAnsi="Times New Roman" w:cs="Times New Roman"/>
          <w:i/>
          <w:sz w:val="28"/>
          <w:szCs w:val="28"/>
        </w:rPr>
        <w:t>855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D7A9A">
        <w:rPr>
          <w:rFonts w:ascii="Times New Roman" w:hAnsi="Times New Roman" w:cs="Times New Roman"/>
          <w:i/>
          <w:sz w:val="28"/>
          <w:szCs w:val="28"/>
        </w:rPr>
        <w:t xml:space="preserve">488,7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3577DE">
        <w:rPr>
          <w:rFonts w:ascii="Times New Roman" w:hAnsi="Times New Roman" w:cs="Times New Roman"/>
          <w:i/>
          <w:sz w:val="28"/>
          <w:szCs w:val="28"/>
        </w:rPr>
        <w:t>7</w:t>
      </w:r>
      <w:r w:rsidR="00BB095D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sz w:val="28"/>
          <w:szCs w:val="28"/>
        </w:rPr>
        <w:t>994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BB095D">
        <w:rPr>
          <w:rFonts w:ascii="Times New Roman" w:hAnsi="Times New Roman" w:cs="Times New Roman"/>
          <w:i/>
          <w:sz w:val="28"/>
          <w:szCs w:val="28"/>
        </w:rPr>
        <w:t>51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BB095D">
        <w:rPr>
          <w:rFonts w:ascii="Times New Roman" w:hAnsi="Times New Roman" w:cs="Times New Roman"/>
          <w:i/>
          <w:sz w:val="28"/>
          <w:szCs w:val="28"/>
        </w:rPr>
        <w:t>871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sz w:val="28"/>
          <w:szCs w:val="28"/>
        </w:rPr>
        <w:t>658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тыс. руб., у</w:t>
      </w:r>
      <w:r w:rsidR="00BB095D">
        <w:rPr>
          <w:rFonts w:ascii="Times New Roman" w:hAnsi="Times New Roman" w:cs="Times New Roman"/>
          <w:i/>
          <w:sz w:val="28"/>
          <w:szCs w:val="28"/>
        </w:rPr>
        <w:t>меньшение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16 </w:t>
      </w:r>
      <w:r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BB095D">
        <w:rPr>
          <w:rFonts w:ascii="Times New Roman" w:hAnsi="Times New Roman" w:cs="Times New Roman"/>
          <w:i/>
          <w:sz w:val="28"/>
          <w:szCs w:val="28"/>
        </w:rPr>
        <w:t>169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3577DE">
        <w:rPr>
          <w:rFonts w:ascii="Times New Roman" w:hAnsi="Times New Roman" w:cs="Times New Roman"/>
          <w:i/>
          <w:sz w:val="28"/>
          <w:szCs w:val="28"/>
        </w:rPr>
        <w:t>1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95D">
        <w:rPr>
          <w:rFonts w:ascii="Times New Roman" w:hAnsi="Times New Roman" w:cs="Times New Roman"/>
          <w:i/>
          <w:sz w:val="28"/>
          <w:szCs w:val="28"/>
        </w:rPr>
        <w:t>56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577DE">
        <w:rPr>
          <w:rFonts w:ascii="Times New Roman" w:hAnsi="Times New Roman" w:cs="Times New Roman"/>
          <w:i/>
          <w:sz w:val="28"/>
          <w:szCs w:val="28"/>
        </w:rPr>
        <w:t>0</w:t>
      </w:r>
      <w:r w:rsidR="00BB095D">
        <w:rPr>
          <w:rFonts w:ascii="Times New Roman" w:hAnsi="Times New Roman" w:cs="Times New Roman"/>
          <w:i/>
          <w:sz w:val="28"/>
          <w:szCs w:val="28"/>
        </w:rPr>
        <w:t>62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BB095D">
        <w:rPr>
          <w:rFonts w:ascii="Times New Roman" w:hAnsi="Times New Roman" w:cs="Times New Roman"/>
          <w:i/>
          <w:sz w:val="28"/>
          <w:szCs w:val="28"/>
        </w:rPr>
        <w:t>117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sz w:val="28"/>
          <w:szCs w:val="28"/>
        </w:rPr>
        <w:t>348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BB095D">
        <w:rPr>
          <w:rFonts w:ascii="Times New Roman" w:hAnsi="Times New Roman" w:cs="Times New Roman"/>
          <w:i/>
          <w:sz w:val="28"/>
          <w:szCs w:val="28"/>
        </w:rPr>
        <w:t>48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BB095D">
        <w:rPr>
          <w:rFonts w:ascii="Times New Roman" w:hAnsi="Times New Roman" w:cs="Times New Roman"/>
          <w:i/>
          <w:sz w:val="28"/>
          <w:szCs w:val="28"/>
        </w:rPr>
        <w:t>32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sz w:val="28"/>
          <w:szCs w:val="28"/>
        </w:rPr>
        <w:t>612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>у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величение </w:t>
      </w:r>
      <w:r w:rsidRPr="003577DE">
        <w:rPr>
          <w:rFonts w:ascii="Times New Roman" w:hAnsi="Times New Roman" w:cs="Times New Roman"/>
          <w:i/>
          <w:sz w:val="28"/>
          <w:szCs w:val="28"/>
        </w:rPr>
        <w:t>на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95D">
        <w:rPr>
          <w:rFonts w:ascii="Times New Roman" w:hAnsi="Times New Roman" w:cs="Times New Roman"/>
          <w:i/>
          <w:sz w:val="28"/>
          <w:szCs w:val="28"/>
        </w:rPr>
        <w:t>2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>3</w:t>
      </w:r>
      <w:r w:rsidR="001534BB" w:rsidRPr="003577DE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BB095D">
        <w:rPr>
          <w:rFonts w:ascii="Times New Roman" w:hAnsi="Times New Roman" w:cs="Times New Roman"/>
          <w:i/>
          <w:sz w:val="28"/>
          <w:szCs w:val="28"/>
        </w:rPr>
        <w:t>450</w:t>
      </w:r>
      <w:r w:rsidRPr="003577DE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 w:rsidRPr="003577DE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95D">
        <w:rPr>
          <w:rFonts w:ascii="Times New Roman" w:hAnsi="Times New Roman" w:cs="Times New Roman"/>
          <w:i/>
          <w:sz w:val="28"/>
          <w:szCs w:val="28"/>
        </w:rPr>
        <w:t>835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BB095D">
        <w:rPr>
          <w:rFonts w:ascii="Times New Roman" w:hAnsi="Times New Roman" w:cs="Times New Roman"/>
          <w:i/>
          <w:color w:val="000000"/>
          <w:sz w:val="28"/>
          <w:szCs w:val="28"/>
        </w:rPr>
        <w:t>821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3577DE">
        <w:rPr>
          <w:rFonts w:ascii="Times New Roman" w:hAnsi="Times New Roman" w:cs="Times New Roman"/>
          <w:i/>
          <w:sz w:val="28"/>
          <w:szCs w:val="28"/>
        </w:rPr>
        <w:t>6</w:t>
      </w:r>
      <w:r w:rsidR="00BB095D">
        <w:rPr>
          <w:rFonts w:ascii="Times New Roman" w:hAnsi="Times New Roman" w:cs="Times New Roman"/>
          <w:i/>
          <w:sz w:val="28"/>
          <w:szCs w:val="28"/>
        </w:rPr>
        <w:t xml:space="preserve">63 </w:t>
      </w:r>
      <w:r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BB095D">
        <w:rPr>
          <w:rFonts w:ascii="Times New Roman" w:hAnsi="Times New Roman" w:cs="Times New Roman"/>
          <w:i/>
          <w:sz w:val="28"/>
          <w:szCs w:val="28"/>
        </w:rPr>
        <w:t>927,78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BB095D">
        <w:rPr>
          <w:rFonts w:ascii="Times New Roman" w:hAnsi="Times New Roman" w:cs="Times New Roman"/>
          <w:i/>
          <w:sz w:val="28"/>
          <w:szCs w:val="28"/>
        </w:rPr>
        <w:t>50,23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310D3E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расходы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уменьшились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P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</w:t>
      </w:r>
      <w:r w:rsidR="00BB095D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B095D">
        <w:rPr>
          <w:rFonts w:ascii="Times New Roman" w:hAnsi="Times New Roman" w:cs="Times New Roman"/>
          <w:i/>
          <w:color w:val="000000"/>
          <w:sz w:val="28"/>
          <w:szCs w:val="28"/>
        </w:rPr>
        <w:t>944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3,12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95785E">
        <w:rPr>
          <w:rFonts w:ascii="Times New Roman" w:hAnsi="Times New Roman" w:cs="Times New Roman"/>
          <w:i/>
          <w:sz w:val="28"/>
          <w:szCs w:val="28"/>
        </w:rPr>
        <w:t xml:space="preserve">862 </w:t>
      </w:r>
      <w:r w:rsidR="00392B49">
        <w:rPr>
          <w:rFonts w:ascii="Times New Roman" w:hAnsi="Times New Roman" w:cs="Times New Roman"/>
          <w:i/>
          <w:sz w:val="28"/>
          <w:szCs w:val="28"/>
        </w:rPr>
        <w:t>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85E">
        <w:rPr>
          <w:rFonts w:ascii="Times New Roman" w:hAnsi="Times New Roman" w:cs="Times New Roman"/>
          <w:i/>
          <w:sz w:val="28"/>
          <w:szCs w:val="28"/>
        </w:rPr>
        <w:t xml:space="preserve">765 </w:t>
      </w:r>
      <w:r w:rsidR="001534BB">
        <w:rPr>
          <w:rFonts w:ascii="Times New Roman" w:hAnsi="Times New Roman" w:cs="Times New Roman"/>
          <w:i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751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520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90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снижением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уровню аналогичного периода прошлого года на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533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2,4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627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4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33</w:t>
      </w:r>
      <w:r w:rsidR="005508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исполнено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51,06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545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65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81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781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392B49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43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124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52,9 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39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38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E9289D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386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200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100 %.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>0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73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285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50,22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175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897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102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612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или на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752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61,54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447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305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726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50,95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95785E">
        <w:rPr>
          <w:rFonts w:ascii="Times New Roman" w:hAnsi="Times New Roman" w:cs="Times New Roman"/>
          <w:i/>
          <w:color w:val="000000"/>
          <w:sz w:val="28"/>
          <w:szCs w:val="28"/>
        </w:rPr>
        <w:t>618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величение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108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 или на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7D109C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</w:t>
      </w:r>
      <w:proofErr w:type="spellStart"/>
      <w:r w:rsidR="0062429E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650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080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75,9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587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048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бюджета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623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095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552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972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985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30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299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3,55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бюджета (1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805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E731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433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тыс. руб.(1 кв. 202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012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7D109C">
        <w:rPr>
          <w:rFonts w:ascii="Times New Roman" w:hAnsi="Times New Roman" w:cs="Times New Roman"/>
          <w:i/>
          <w:color w:val="000000"/>
          <w:sz w:val="28"/>
          <w:szCs w:val="28"/>
        </w:rPr>
        <w:t>866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1046E7" w:rsidRPr="00F8762F" w:rsidRDefault="001046E7" w:rsidP="00F876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733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 w:rsidR="00F8762F">
        <w:rPr>
          <w:rFonts w:ascii="Times New Roman" w:hAnsi="Times New Roman" w:cs="Times New Roman"/>
          <w:i/>
          <w:sz w:val="28"/>
          <w:szCs w:val="28"/>
        </w:rPr>
        <w:t>6</w:t>
      </w:r>
      <w:r w:rsidR="00A10A24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A10A24">
        <w:rPr>
          <w:rFonts w:ascii="Times New Roman" w:hAnsi="Times New Roman" w:cs="Times New Roman"/>
          <w:i/>
          <w:sz w:val="28"/>
          <w:szCs w:val="28"/>
        </w:rPr>
        <w:t>062</w:t>
      </w:r>
      <w:r w:rsidR="00F87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A10A24">
        <w:rPr>
          <w:rFonts w:ascii="Times New Roman" w:hAnsi="Times New Roman" w:cs="Times New Roman"/>
          <w:i/>
          <w:sz w:val="28"/>
          <w:szCs w:val="28"/>
        </w:rPr>
        <w:t>70,57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48 млн. 560,9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>140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за счет республиканского бюджета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115,4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18,9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рублей.</w:t>
      </w:r>
    </w:p>
    <w:tbl>
      <w:tblPr>
        <w:tblW w:w="10060" w:type="dxa"/>
        <w:tblInd w:w="-5" w:type="dxa"/>
        <w:tblLook w:val="04A0" w:firstRow="1" w:lastRow="0" w:firstColumn="1" w:lastColumn="0" w:noHBand="0" w:noVBand="1"/>
      </w:tblPr>
      <w:tblGrid>
        <w:gridCol w:w="7292"/>
        <w:gridCol w:w="838"/>
        <w:gridCol w:w="705"/>
        <w:gridCol w:w="572"/>
        <w:gridCol w:w="794"/>
      </w:tblGrid>
      <w:tr w:rsidR="00E92F03" w:rsidRPr="00E92F03" w:rsidTr="005264E2">
        <w:trPr>
          <w:trHeight w:val="30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92F03" w:rsidRPr="00E92F03" w:rsidTr="005264E2">
        <w:trPr>
          <w:trHeight w:val="129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   «Развитие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46700,9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46835,2</w:t>
            </w:r>
          </w:p>
        </w:tc>
      </w:tr>
      <w:tr w:rsidR="00E92F03" w:rsidRPr="00E92F03" w:rsidTr="005264E2">
        <w:trPr>
          <w:trHeight w:val="1493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  трансферты,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D10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33402,8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33402,8</w:t>
            </w:r>
          </w:p>
        </w:tc>
      </w:tr>
      <w:tr w:rsidR="00E92F03" w:rsidRPr="00E92F03" w:rsidTr="005264E2">
        <w:trPr>
          <w:trHeight w:val="126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  организацию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13298,0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7212,76</w:t>
            </w:r>
          </w:p>
        </w:tc>
      </w:tr>
      <w:tr w:rsidR="00E92F03" w:rsidRPr="00E92F03" w:rsidTr="005264E2">
        <w:trPr>
          <w:trHeight w:val="123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1898,0</w:t>
            </w:r>
          </w:p>
        </w:tc>
      </w:tr>
      <w:tr w:rsidR="00E92F03" w:rsidRPr="00E92F03" w:rsidTr="005264E2">
        <w:trPr>
          <w:trHeight w:val="87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 поддержку  муниципальных  программ  формирования  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 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10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10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1898,0</w:t>
            </w:r>
          </w:p>
        </w:tc>
      </w:tr>
      <w:tr w:rsidR="00E92F03" w:rsidRPr="00E92F03" w:rsidTr="005264E2">
        <w:trPr>
          <w:trHeight w:val="30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F8762F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48560,9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A10A24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48733,2</w:t>
            </w:r>
          </w:p>
        </w:tc>
      </w:tr>
    </w:tbl>
    <w:p w:rsidR="003A4224" w:rsidRDefault="003A4224" w:rsidP="005264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850" w:rsidRDefault="00592850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исполнение по муниципальным программам составляет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49,58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746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512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505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A10A24">
        <w:rPr>
          <w:rFonts w:ascii="Times New Roman" w:hAnsi="Times New Roman" w:cs="Times New Roman"/>
          <w:i/>
          <w:color w:val="000000"/>
          <w:sz w:val="28"/>
          <w:szCs w:val="28"/>
        </w:rPr>
        <w:t>632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9E6B97" w:rsidRDefault="009E6B97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5"/>
        <w:gridCol w:w="1134"/>
      </w:tblGrid>
      <w:tr w:rsidR="00B7112C" w:rsidRPr="00B7112C" w:rsidTr="009E6B97">
        <w:trPr>
          <w:trHeight w:val="24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5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505 632,53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746 512,43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49,58</w:t>
            </w:r>
            <w:r w:rsidR="00B7112C"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"Социальная поддержка граждан Улуг-Хемского 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114 821,29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51 346,25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44,72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98 751,60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55 733,16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56,44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"Создание условий для устойчивого экономического развития"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65,04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958 048,82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607 880,78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63,45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6 052,56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68,69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85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38,48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25,26%</w:t>
            </w:r>
          </w:p>
        </w:tc>
      </w:tr>
      <w:tr w:rsidR="00B7112C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25,99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19 910,12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268 710,67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10 893,08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710,31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11 595,51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99,02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106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 жилищно-коммунального хозяйства, защиты населения и территории от чрезвычайных ситуаций 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19 245,33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  <w:r w:rsidR="00B7112C"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F15B16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F15B16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40,75%</w:t>
            </w:r>
          </w:p>
        </w:tc>
      </w:tr>
      <w:tr w:rsidR="00B7112C" w:rsidRPr="00B7112C" w:rsidTr="009E6B97">
        <w:trPr>
          <w:trHeight w:val="667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3 073,43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27,33%</w:t>
            </w:r>
          </w:p>
        </w:tc>
      </w:tr>
      <w:tr w:rsidR="00B7112C" w:rsidRPr="00B7112C" w:rsidTr="009E6B97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F15B16" w:rsidP="00F1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88,65</w:t>
            </w:r>
            <w:r w:rsidR="00B7112C"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392CB7" w:rsidRPr="00563FB4" w:rsidRDefault="00592850" w:rsidP="00F15B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перв</w:t>
      </w:r>
      <w:r w:rsidR="00FF2C03">
        <w:rPr>
          <w:rFonts w:ascii="Times New Roman" w:hAnsi="Times New Roman" w:cs="Times New Roman"/>
          <w:i/>
          <w:color w:val="000000"/>
          <w:sz w:val="28"/>
          <w:szCs w:val="28"/>
        </w:rPr>
        <w:t>ое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F2C03">
        <w:rPr>
          <w:rFonts w:ascii="Times New Roman" w:hAnsi="Times New Roman" w:cs="Times New Roman"/>
          <w:i/>
          <w:color w:val="000000"/>
          <w:sz w:val="28"/>
          <w:szCs w:val="28"/>
        </w:rPr>
        <w:t>полугодие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FF2C03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C56020" w:rsidRPr="00C56020">
        <w:rPr>
          <w:rFonts w:ascii="Times New Roman" w:hAnsi="Times New Roman" w:cs="Times New Roman"/>
          <w:i/>
          <w:color w:val="000000"/>
          <w:sz w:val="28"/>
          <w:szCs w:val="28"/>
        </w:rPr>
        <w:t>89,3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sectPr w:rsidR="00392CB7" w:rsidRPr="00563FB4" w:rsidSect="007624C3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763A1"/>
    <w:rsid w:val="0018371D"/>
    <w:rsid w:val="00186746"/>
    <w:rsid w:val="00192FEA"/>
    <w:rsid w:val="001939E4"/>
    <w:rsid w:val="00197DF9"/>
    <w:rsid w:val="001B75D3"/>
    <w:rsid w:val="001C11B3"/>
    <w:rsid w:val="001C41D1"/>
    <w:rsid w:val="001C4D19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E7802"/>
    <w:rsid w:val="002F1D6A"/>
    <w:rsid w:val="002F409A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91A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577DE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4224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15D7"/>
    <w:rsid w:val="003F17FE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64E2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08DE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76FA7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C5EFB"/>
    <w:rsid w:val="005D3A0B"/>
    <w:rsid w:val="005D46B3"/>
    <w:rsid w:val="005E1706"/>
    <w:rsid w:val="005E47D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15A63"/>
    <w:rsid w:val="00622A99"/>
    <w:rsid w:val="00623AE2"/>
    <w:rsid w:val="0062429E"/>
    <w:rsid w:val="00624465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145B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14A5"/>
    <w:rsid w:val="007433CA"/>
    <w:rsid w:val="007436C0"/>
    <w:rsid w:val="00744F29"/>
    <w:rsid w:val="007536C2"/>
    <w:rsid w:val="00755061"/>
    <w:rsid w:val="00755A34"/>
    <w:rsid w:val="00756046"/>
    <w:rsid w:val="007577AE"/>
    <w:rsid w:val="007624C3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109C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07A0F"/>
    <w:rsid w:val="008179A0"/>
    <w:rsid w:val="00821268"/>
    <w:rsid w:val="00822BEC"/>
    <w:rsid w:val="00830633"/>
    <w:rsid w:val="008306E3"/>
    <w:rsid w:val="00831771"/>
    <w:rsid w:val="00834387"/>
    <w:rsid w:val="0083529E"/>
    <w:rsid w:val="0083798C"/>
    <w:rsid w:val="008424AA"/>
    <w:rsid w:val="00842B51"/>
    <w:rsid w:val="00845DDB"/>
    <w:rsid w:val="00846758"/>
    <w:rsid w:val="00846F02"/>
    <w:rsid w:val="00851CE8"/>
    <w:rsid w:val="00853CDC"/>
    <w:rsid w:val="00854EFF"/>
    <w:rsid w:val="008602CA"/>
    <w:rsid w:val="00861617"/>
    <w:rsid w:val="00863B45"/>
    <w:rsid w:val="00863CF9"/>
    <w:rsid w:val="00863E0E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97A"/>
    <w:rsid w:val="008B7B57"/>
    <w:rsid w:val="008B7C00"/>
    <w:rsid w:val="008C35F4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85E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B97"/>
    <w:rsid w:val="009E6FB3"/>
    <w:rsid w:val="009F1C12"/>
    <w:rsid w:val="009F331C"/>
    <w:rsid w:val="009F4113"/>
    <w:rsid w:val="00A029BC"/>
    <w:rsid w:val="00A0533E"/>
    <w:rsid w:val="00A07278"/>
    <w:rsid w:val="00A10A24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BE8"/>
    <w:rsid w:val="00A535DB"/>
    <w:rsid w:val="00A539B7"/>
    <w:rsid w:val="00A545D3"/>
    <w:rsid w:val="00A56570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6C2E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112C"/>
    <w:rsid w:val="00B72BDD"/>
    <w:rsid w:val="00B77E3A"/>
    <w:rsid w:val="00B814FE"/>
    <w:rsid w:val="00B81F75"/>
    <w:rsid w:val="00B87BBA"/>
    <w:rsid w:val="00B90735"/>
    <w:rsid w:val="00B90E9A"/>
    <w:rsid w:val="00B94111"/>
    <w:rsid w:val="00BA1990"/>
    <w:rsid w:val="00BA2B37"/>
    <w:rsid w:val="00BA5660"/>
    <w:rsid w:val="00BB095D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9A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56020"/>
    <w:rsid w:val="00C62B9D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93ACF"/>
    <w:rsid w:val="00C95C97"/>
    <w:rsid w:val="00CA196D"/>
    <w:rsid w:val="00CA21F0"/>
    <w:rsid w:val="00CA33DC"/>
    <w:rsid w:val="00CA3AD3"/>
    <w:rsid w:val="00CA5324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6173"/>
    <w:rsid w:val="00D212F4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1105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5AAC"/>
    <w:rsid w:val="00E271D1"/>
    <w:rsid w:val="00E33BE9"/>
    <w:rsid w:val="00E34784"/>
    <w:rsid w:val="00E40C74"/>
    <w:rsid w:val="00E47945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1046F"/>
    <w:rsid w:val="00F14A66"/>
    <w:rsid w:val="00F14B4C"/>
    <w:rsid w:val="00F15B16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62F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36FB"/>
    <w:rsid w:val="00FC5831"/>
    <w:rsid w:val="00FC7D1D"/>
    <w:rsid w:val="00FD0E47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2C03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B8F4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</a:t>
            </a:r>
            <a:r>
              <a:rPr lang="en-US"/>
              <a:t>1 </a:t>
            </a:r>
            <a:r>
              <a:rPr lang="ru-RU"/>
              <a:t>полугодие 2022-2024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01.07.2022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13436692506459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62921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D-449F-B4D9-AAC8C97D6F2A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D-449F-B4D9-AAC8C97D6F2A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D-449F-B4D9-AAC8C97D6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62921</c:v>
                </c:pt>
                <c:pt idx="1">
                  <c:v>50838</c:v>
                </c:pt>
                <c:pt idx="2">
                  <c:v>12083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9D-449F-B4D9-AAC8C97D6F2A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01.07.2023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72724</c:v>
                </c:pt>
                <c:pt idx="1">
                  <c:v>60641</c:v>
                </c:pt>
                <c:pt idx="2">
                  <c:v>12083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9D-449F-B4D9-AAC8C97D6F2A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01.07.2024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88954</c:v>
                </c:pt>
                <c:pt idx="1">
                  <c:v>69874</c:v>
                </c:pt>
                <c:pt idx="2">
                  <c:v>19079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9D-449F-B4D9-AAC8C97D6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09D-4D93-BF69-B02A32A8F0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09D-4D93-BF69-B02A32A8F0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09D-4D93-BF69-B02A32A8F0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09D-4D93-BF69-B02A32A8F0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9D-4D93-BF69-B02A32A8F0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09D-4D93-BF69-B02A32A8F0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09D-4D93-BF69-B02A32A8F0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09D-4D93-BF69-B02A32A8F0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09D-4D93-BF69-B02A32A8F0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09D-4D93-BF69-B02A32A8F0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0.64</c:v>
                </c:pt>
                <c:pt idx="1">
                  <c:v>0.13800000000000001</c:v>
                </c:pt>
                <c:pt idx="2">
                  <c:v>2.5000000000000001E-2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09D-4D93-BF69-B02A32A8F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1 полугодие 2022-2024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1 полугодие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DBB-469B-B08C-A6A6461B1BF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DBB-469B-B08C-A6A6461B1BF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DBB-469B-B08C-A6A6461B1BF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DBB-469B-B08C-A6A6461B1BF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DBB-469B-B08C-A6A6461B1BFA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B-469B-B08C-A6A6461B1BFA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BB-469B-B08C-A6A6461B1BFA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BB-469B-B08C-A6A6461B1BFA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BB-469B-B08C-A6A6461B1BFA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50838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4DBB-469B-B08C-A6A6461B1BFA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1 полугодие 2023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60641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4DBB-469B-B08C-A6A6461B1BFA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1 полугодие 2024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69874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4DBB-469B-B08C-A6A6461B1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01.0</a:t>
            </a:r>
            <a:r>
              <a:rPr lang="en-US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7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.2024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01.07.2023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C9-4E83-B113-CC22909C8E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Лист6!$C$6:$D$6</c:f>
              <c:numCache>
                <c:formatCode>General</c:formatCode>
                <c:ptCount val="2"/>
                <c:pt idx="0">
                  <c:v>103</c:v>
                </c:pt>
                <c:pt idx="1">
                  <c:v>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9-4E83-B113-CC22909C8EB0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01.07.2024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C9-4E83-B113-CC22909C8EB0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C9-4E83-B113-CC22909C8E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Лист6!$C$7:$D$7</c:f>
              <c:numCache>
                <c:formatCode>General</c:formatCode>
                <c:ptCount val="2"/>
                <c:pt idx="0">
                  <c:v>388</c:v>
                </c:pt>
                <c:pt idx="1">
                  <c:v>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C9-4E83-B113-CC22909C8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3427-652E-45CC-8C7D-582EC879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9</cp:revision>
  <cp:lastPrinted>2024-07-26T05:33:00Z</cp:lastPrinted>
  <dcterms:created xsi:type="dcterms:W3CDTF">2024-07-22T03:46:00Z</dcterms:created>
  <dcterms:modified xsi:type="dcterms:W3CDTF">2024-07-26T05:36:00Z</dcterms:modified>
</cp:coreProperties>
</file>