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27" w:rsidRDefault="001E4627" w:rsidP="002C605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F35C52" w:rsidRDefault="009955E5" w:rsidP="00921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5C52" w:rsidRDefault="009955E5" w:rsidP="0092116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к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Решени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Хурала представителей Улуг-Хемского кожууна Республики Тыва «О</w:t>
      </w:r>
      <w:r w:rsidR="00A276C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кожуунно</w:t>
      </w:r>
      <w:r w:rsidR="00A276C0">
        <w:rPr>
          <w:rFonts w:ascii="Times New Roman" w:hAnsi="Times New Roman" w:cs="Times New Roman"/>
          <w:b/>
          <w:sz w:val="28"/>
          <w:szCs w:val="28"/>
        </w:rPr>
        <w:t>го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276C0">
        <w:rPr>
          <w:rFonts w:ascii="Times New Roman" w:hAnsi="Times New Roman" w:cs="Times New Roman"/>
          <w:b/>
          <w:sz w:val="28"/>
          <w:szCs w:val="28"/>
        </w:rPr>
        <w:t>а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Улуг-Хемский кожуун Республики Тыва на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5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6</w:t>
      </w:r>
      <w:r w:rsidR="00F35C5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7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 xml:space="preserve">Бюджет подготовлен в соответствии с требованиями Бюджетного кодекса Российской Федерации, Налогового кодекса Российской Федерации, решения </w:t>
      </w:r>
      <w:r w:rsidR="00E53D52" w:rsidRPr="00E53D52">
        <w:rPr>
          <w:rFonts w:ascii="Times New Roman" w:hAnsi="Times New Roman"/>
          <w:sz w:val="28"/>
          <w:szCs w:val="28"/>
        </w:rPr>
        <w:t>от 17.07.2020 года № 64 Хурала представителей Улуг-Хемского кожууна «Об утверждении Положения о бюджетном процессе в муниципальном районе «Улуг-Хемский кожуун Республики Тыва»</w:t>
      </w:r>
      <w:r w:rsidRPr="00276B38">
        <w:rPr>
          <w:rFonts w:ascii="Times New Roman" w:hAnsi="Times New Roman"/>
          <w:sz w:val="28"/>
          <w:szCs w:val="28"/>
        </w:rPr>
        <w:t>, иных законодательных и нормативных правовых актов Российской Федерации, Республики Тыва и Улуг-Хемского района.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При этом основными задачами бюджетной политики при формировании бюджета муниципального района «Улуг-Хемский кожуун Республики Тыва» на 202</w:t>
      </w:r>
      <w:r w:rsidR="00E53D52" w:rsidRPr="00E53D52">
        <w:rPr>
          <w:rFonts w:ascii="Times New Roman" w:hAnsi="Times New Roman"/>
          <w:sz w:val="28"/>
          <w:szCs w:val="28"/>
        </w:rPr>
        <w:t>5</w:t>
      </w:r>
      <w:r w:rsidRPr="00276B38">
        <w:rPr>
          <w:rFonts w:ascii="Times New Roman" w:hAnsi="Times New Roman"/>
          <w:sz w:val="28"/>
          <w:szCs w:val="28"/>
        </w:rPr>
        <w:t>-202</w:t>
      </w:r>
      <w:r w:rsidR="00E53D52" w:rsidRPr="00E53D52">
        <w:rPr>
          <w:rFonts w:ascii="Times New Roman" w:hAnsi="Times New Roman"/>
          <w:sz w:val="28"/>
          <w:szCs w:val="28"/>
        </w:rPr>
        <w:t>7</w:t>
      </w:r>
      <w:r w:rsidRPr="00276B38">
        <w:rPr>
          <w:rFonts w:ascii="Times New Roman" w:hAnsi="Times New Roman"/>
          <w:sz w:val="28"/>
          <w:szCs w:val="28"/>
        </w:rPr>
        <w:t xml:space="preserve"> годы являются: выполнение расходных обязательств и повышение результативности бюджетных расходов, с учетом разграничения расходных обязательств между уровнями бюджетной системы и строгий отбор принимаемых обязательств.</w:t>
      </w:r>
    </w:p>
    <w:p w:rsidR="00DE75B6" w:rsidRPr="00276B38" w:rsidRDefault="00DE75B6" w:rsidP="00DE75B6">
      <w:pPr>
        <w:pStyle w:val="a3"/>
        <w:ind w:left="0" w:firstLine="720"/>
        <w:jc w:val="center"/>
        <w:rPr>
          <w:b/>
          <w:snapToGrid w:val="0"/>
          <w:sz w:val="28"/>
          <w:szCs w:val="28"/>
        </w:rPr>
      </w:pPr>
    </w:p>
    <w:p w:rsidR="00DE75B6" w:rsidRPr="00DB214E" w:rsidRDefault="00DE75B6" w:rsidP="00DE75B6">
      <w:pPr>
        <w:pStyle w:val="a3"/>
        <w:ind w:left="0"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кожуунного бюджета муниципального района «Улуг-Хемский кожуун Республики </w:t>
      </w:r>
      <w:r w:rsidR="001D7353" w:rsidRPr="00DB214E">
        <w:rPr>
          <w:rFonts w:ascii="Times New Roman" w:hAnsi="Times New Roman" w:cs="Times New Roman"/>
          <w:b/>
          <w:snapToGrid w:val="0"/>
          <w:sz w:val="28"/>
          <w:szCs w:val="28"/>
        </w:rPr>
        <w:t>Тыва» на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и плановый период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гг.</w:t>
      </w:r>
    </w:p>
    <w:p w:rsidR="00DE75B6" w:rsidRDefault="00DE75B6" w:rsidP="00DE75B6">
      <w:pPr>
        <w:pStyle w:val="a3"/>
        <w:ind w:left="0" w:right="715" w:firstLine="72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snapToGrid w:val="0"/>
          <w:sz w:val="28"/>
          <w:szCs w:val="28"/>
        </w:rPr>
        <w:t>тыс. руб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3809"/>
        <w:gridCol w:w="1541"/>
        <w:gridCol w:w="1541"/>
        <w:gridCol w:w="1541"/>
        <w:gridCol w:w="1541"/>
      </w:tblGrid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1960416,3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2114615,1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1435522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1496657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187712,0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170450,0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197937,0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230977,0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1772704,3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1944165,1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1237585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1265680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1976121,5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2114615,1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1435522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1496657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15705,2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46BE" w:rsidRPr="00EF46BE" w:rsidTr="00EF46BE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%% к </w:t>
            </w:r>
            <w:proofErr w:type="gramStart"/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доходам  без</w:t>
            </w:r>
            <w:proofErr w:type="gramEnd"/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учета объема безвозмездных поступлений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BE" w:rsidRPr="00EF46BE" w:rsidRDefault="00EF46BE" w:rsidP="00EF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E75B6" w:rsidRPr="00B0034F" w:rsidRDefault="00DE75B6" w:rsidP="00B0034F">
      <w:pPr>
        <w:ind w:right="715"/>
        <w:rPr>
          <w:b/>
          <w:snapToGrid w:val="0"/>
          <w:sz w:val="28"/>
          <w:szCs w:val="28"/>
        </w:rPr>
      </w:pPr>
    </w:p>
    <w:p w:rsidR="002E6D51" w:rsidRPr="00BB6ACC" w:rsidRDefault="002E6D51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C">
        <w:rPr>
          <w:rFonts w:ascii="Times New Roman" w:hAnsi="Times New Roman" w:cs="Times New Roman"/>
          <w:b/>
          <w:sz w:val="28"/>
          <w:szCs w:val="28"/>
        </w:rPr>
        <w:t>Доходы кожуунного бюджета на 202</w:t>
      </w:r>
      <w:r w:rsidR="00C9206C">
        <w:rPr>
          <w:rFonts w:ascii="Times New Roman" w:hAnsi="Times New Roman" w:cs="Times New Roman"/>
          <w:b/>
          <w:sz w:val="28"/>
          <w:szCs w:val="28"/>
        </w:rPr>
        <w:t>4</w:t>
      </w:r>
      <w:r w:rsidRPr="00BB6AC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2E6D51" w:rsidRPr="00BB6ACC" w:rsidRDefault="00C9206C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47AA3" w:rsidRPr="00447AA3" w:rsidRDefault="00447AA3" w:rsidP="00447AA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t>Налоговые и неналоговые доходы консолидированн</w:t>
      </w:r>
      <w:bookmarkStart w:id="0" w:name="_GoBack"/>
      <w:bookmarkEnd w:id="0"/>
      <w:r w:rsidRPr="00447AA3">
        <w:rPr>
          <w:rFonts w:ascii="Times New Roman" w:hAnsi="Times New Roman" w:cs="Times New Roman"/>
          <w:b/>
          <w:i/>
          <w:sz w:val="28"/>
          <w:szCs w:val="28"/>
        </w:rPr>
        <w:t>ого бюджета Улуг-Хемского кожууна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211 млн 257 тыс. рублей, с ростом к ожидаемой оценке 2024 года на 13% или на 23 млн 605 тыс. рублей. На 2026 год налоговые и неналоговые доходы прогнозируются в сумме 242 млн 938 тыс. рублей с ростом к 2025 году на 15% или на 31 млн 681 тыс. рублей, на 2027 </w:t>
      </w:r>
      <w:r w:rsidRPr="00447AA3">
        <w:rPr>
          <w:rFonts w:ascii="Times New Roman" w:hAnsi="Times New Roman" w:cs="Times New Roman"/>
          <w:sz w:val="28"/>
          <w:szCs w:val="28"/>
        </w:rPr>
        <w:lastRenderedPageBreak/>
        <w:t>год в сумме 282 млн 965 тыс. рублей с ростом к 2026 году на 16% или на 40 млн 027 тыс. рублей.</w:t>
      </w: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Поступление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налоговых доходов</w:t>
      </w:r>
      <w:r w:rsidRPr="00447AA3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Улуг-Хемского кожууна на 2025 год рассчитан в сумме 201 млн 496 тыс. рублей или с ростом к оценке 2024 года на 17% или на 29 млн 274 тыс. рублей. На 2026 год поступление прогнозируется в сумме 229 млн 880 тыс. рублей, с ростом к прогнозному значению 2025 года на 14% (+28 млн 384 тыс. рублей), на 2027 год прогнозируется в сумме 272 млн 382 тыс. рублей или с ростом к 2026 году на 18% (+42 млн 502 тыс. рублей).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</w:t>
      </w:r>
      <w:r w:rsidRPr="00447AA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бюджета Улуг-Хемского кожууна 2025 год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запланированы в сумме 9 млн 761 тыс. рублей или со снижением к ожидаемой оценке 2024 года на 37% или на 5 млн 669 тыс. рублей. На 2026 год поступление прогнозируется в сумме 10 млн 145 тыс. рублей, с ростом к прогнозному значению 2025 года на 4% (+384 тыс. рублей), на 2027 год прогнозируется в сумме 10 млн 583 тыс. рублей или с ростом к 2026 году на 4% (+438 тыс. рублей).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 xml:space="preserve">Доходы кожуунного бюджета на 2025 год и на плановый период 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>2026 и 2027 годов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Налоговые и неналоговые доходы кожуунного бюджета муниципального района «Улуг-Хемский кожуун Республики Тыва» (далее – Улуг-Хемский кожуун) на 2025 год и на плановый период 2026 и 2027 годов рассчитан исходя из социально-экономического развития Улуг-Хемского кожууна на 2025-2027 годы, основных направлений бюджетной и налоговой политики на 2025 год и на плановый период 2026 и 2027 годов, ожидаемого поступления налоговых и неналоговых доходов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7AA3" w:rsidRPr="00447AA3" w:rsidRDefault="00447AA3" w:rsidP="00447AA3">
      <w:pPr>
        <w:pStyle w:val="af6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447AA3">
        <w:rPr>
          <w:rFonts w:eastAsia="+mn-ea"/>
          <w:color w:val="000000"/>
          <w:kern w:val="24"/>
          <w:sz w:val="28"/>
          <w:szCs w:val="28"/>
        </w:rPr>
        <w:t>Параметры дохода кожуунного бюджета на 2025-2027 годы</w:t>
      </w:r>
    </w:p>
    <w:p w:rsidR="00447AA3" w:rsidRPr="00447AA3" w:rsidRDefault="00447AA3" w:rsidP="00447AA3">
      <w:pPr>
        <w:pStyle w:val="af6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  <w:highlight w:val="yellow"/>
        </w:rPr>
      </w:pPr>
    </w:p>
    <w:tbl>
      <w:tblPr>
        <w:tblW w:w="9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8"/>
        <w:gridCol w:w="1750"/>
        <w:gridCol w:w="1857"/>
        <w:gridCol w:w="1213"/>
      </w:tblGrid>
      <w:tr w:rsidR="00447AA3" w:rsidRPr="00447AA3" w:rsidTr="00D93578">
        <w:trPr>
          <w:trHeight w:val="75"/>
        </w:trPr>
        <w:tc>
          <w:tcPr>
            <w:tcW w:w="467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7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hanging="199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2027 год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5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165 979</w:t>
            </w:r>
          </w:p>
        </w:tc>
        <w:tc>
          <w:tcPr>
            <w:tcW w:w="185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192 813</w:t>
            </w:r>
          </w:p>
        </w:tc>
        <w:tc>
          <w:tcPr>
            <w:tcW w:w="12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225 653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130 872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155 096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183 633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3 058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3 098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4 176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Налоги на совокупный доход: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19 456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20 944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22 940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Упрощенная система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17 631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18 865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20 563</w:t>
            </w:r>
          </w:p>
        </w:tc>
      </w:tr>
      <w:tr w:rsidR="00447AA3" w:rsidRPr="00447AA3" w:rsidTr="00D93578">
        <w:trPr>
          <w:trHeight w:val="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Патентная система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1 612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1 854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2 132</w:t>
            </w:r>
          </w:p>
        </w:tc>
      </w:tr>
      <w:tr w:rsidR="00447AA3" w:rsidRPr="00447AA3" w:rsidTr="00D93578">
        <w:trPr>
          <w:trHeight w:val="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245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7 207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7 567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7 945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5 386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6 108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6 959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4 471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5 124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5 324</w:t>
            </w:r>
          </w:p>
        </w:tc>
      </w:tr>
      <w:tr w:rsidR="00447AA3" w:rsidRPr="00447AA3" w:rsidTr="00D93578">
        <w:trPr>
          <w:trHeight w:val="199"/>
        </w:trPr>
        <w:tc>
          <w:tcPr>
            <w:tcW w:w="4678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170 450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197 937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right="210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230 977</w:t>
            </w:r>
          </w:p>
        </w:tc>
      </w:tr>
    </w:tbl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Налоговые и неналоговые доходы кожуунного бюджета муниципального района Улуг-Хемского кожууна </w:t>
      </w:r>
      <w:r w:rsidRPr="00447AA3">
        <w:rPr>
          <w:rFonts w:ascii="Times New Roman" w:hAnsi="Times New Roman" w:cs="Times New Roman"/>
          <w:sz w:val="28"/>
          <w:szCs w:val="28"/>
        </w:rPr>
        <w:t>на 2025 год рассчитан в сумме 170 млн 450 тыс. рублей, с ростом к ожидаемой оценке 2024 года на 13% или на 22 млн 687 тыс. рублей. На 2026 год налоговые и неналоговые доходы прогнозируются в сумме 197 млн 937 тыс. рублей с ростом к 2025 году на 16% или на 27 млн 487 тыс. рублей, на 2027 год в сумме 230 млн 977 тыс. рублей с ростом к 2026 году на 16% или на 33 млн 040 тыс. рублей.</w:t>
      </w:r>
    </w:p>
    <w:p w:rsidR="00447AA3" w:rsidRPr="00447AA3" w:rsidRDefault="00447AA3" w:rsidP="00447AA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На 2025 год рост доходных источников к ожидаемой оценке 2024 года:</w:t>
      </w:r>
    </w:p>
    <w:p w:rsidR="00447AA3" w:rsidRPr="00447AA3" w:rsidRDefault="00447AA3" w:rsidP="00447AA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- по налогу на доходы физических лиц на 19% (+ 21 млн 705 тыс. рублей);</w:t>
      </w:r>
    </w:p>
    <w:p w:rsidR="00447AA3" w:rsidRPr="00447AA3" w:rsidRDefault="00447AA3" w:rsidP="00447AA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- по налогу, взимаемому в связи с применением упрощенной системы на 3% (+ 514 тыс. рублей);</w:t>
      </w:r>
    </w:p>
    <w:p w:rsidR="00447AA3" w:rsidRPr="00447AA3" w:rsidRDefault="00447AA3" w:rsidP="00447AA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- по налогу на имущество организаций на 1,2% (+ 1 млн 274 тыс. рублей);</w:t>
      </w:r>
    </w:p>
    <w:p w:rsidR="00447AA3" w:rsidRPr="00447AA3" w:rsidRDefault="00447AA3" w:rsidP="00447AA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- по платежам за негативное воздействие на окружающую среду на 1,05% (+ 28 тыс. рублей).</w:t>
      </w: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Поступление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b/>
          <w:sz w:val="28"/>
          <w:szCs w:val="28"/>
        </w:rPr>
        <w:t>налоговых доходов</w:t>
      </w:r>
      <w:r w:rsidRPr="00447AA3">
        <w:rPr>
          <w:rFonts w:ascii="Times New Roman" w:hAnsi="Times New Roman" w:cs="Times New Roman"/>
          <w:sz w:val="28"/>
          <w:szCs w:val="28"/>
        </w:rPr>
        <w:t xml:space="preserve"> в кожуунный бюджет Улуг-Хемского кожууна на 2025 год рассчитан в сумме 165 млн 979 тыс. рублей или с ростом к оценке 2024 года на 16% или на 23 млн 689 тыс. рублей.</w:t>
      </w:r>
    </w:p>
    <w:p w:rsidR="00447AA3" w:rsidRPr="00447AA3" w:rsidRDefault="00447AA3" w:rsidP="00447AA3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130 млн 872 тыс. рублей или с ростом к оценке 2024 года на 19% (+ 21 млн 705 тыс. рублей). Налог на доходы физических лиц остается основным </w:t>
      </w:r>
      <w:proofErr w:type="spellStart"/>
      <w:r w:rsidRPr="00447AA3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447AA3">
        <w:rPr>
          <w:rFonts w:ascii="Times New Roman" w:hAnsi="Times New Roman" w:cs="Times New Roman"/>
          <w:sz w:val="28"/>
          <w:szCs w:val="28"/>
        </w:rPr>
        <w:t xml:space="preserve"> доходным источником муниципального бюджета (где, доля от общего прогнозного объема составляет 76,7%). На 2026 год в сумме 155 млн 096 тыс. рублей с ростом к 2025 году на 18% (+ 24 млн 224 тыс. рублей).</w:t>
      </w: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7AA3" w:rsidRPr="00447AA3" w:rsidRDefault="00447AA3" w:rsidP="00447AA3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3 млн 058 тыс. рублей с ростом к оценке 2024 года на 3 % (+ 117 тыс. рублей). </w:t>
      </w: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Прогноз поступления по акцизам на нефтепродукты на 2025 и 2027 годах составят 3 млн 098 тыс. рублей и 4 млн 176 тыс. рублей соответственно.</w:t>
      </w:r>
    </w:p>
    <w:p w:rsidR="00447AA3" w:rsidRPr="00447AA3" w:rsidRDefault="00447AA3" w:rsidP="00447AA3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Налог на совокупный доход</w:t>
      </w:r>
      <w:r w:rsidRPr="00447AA3">
        <w:rPr>
          <w:rFonts w:ascii="Times New Roman" w:hAnsi="Times New Roman" w:cs="Times New Roman"/>
          <w:sz w:val="28"/>
          <w:szCs w:val="28"/>
        </w:rPr>
        <w:t xml:space="preserve"> (налог, взимаемый в связи с применением упрощенной системы налогообложения, единый сельскохозяйственный налог, налог, взимаемый в связи с применением патентной системе налогообложения) рассчитан на 2025 год в сумме 19 млн 456 тыс. рублей или с ростом к оценке 2024 года на 1,02% (+ 465 тыс. рублей), на 2026 год в сумме 20 млн 944 тыс. рублей с ростом к 2025 году 7% (+ 8 млн 512 тыс. рублей), на 2027 год в сумме 22 млн 940 тыс. рублей с ростом к 2026 году на 9% (+ 1 млн 996 тыс. рублей).</w:t>
      </w:r>
    </w:p>
    <w:p w:rsidR="00447AA3" w:rsidRPr="00447AA3" w:rsidRDefault="00447AA3" w:rsidP="00447AA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По налогу, взимаемому в связи с применением упрощенной системы налогообложения</w:t>
      </w:r>
      <w:r w:rsidRPr="00447AA3">
        <w:rPr>
          <w:rFonts w:ascii="Times New Roman" w:hAnsi="Times New Roman" w:cs="Times New Roman"/>
          <w:sz w:val="28"/>
          <w:szCs w:val="28"/>
        </w:rPr>
        <w:t xml:space="preserve"> в бюджет Улуг-Хемского кожууна на 2025 год рассчитан в сумме 17 млн 631 тыс. рублей. В 2026 и 2027 годах поступления составят 18 млн 865 тыс. рублей и 20 млн 563 тыс. рублей соответственно.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Единый сельскохозяйственный налог </w:t>
      </w:r>
      <w:r w:rsidRPr="00447AA3">
        <w:rPr>
          <w:rFonts w:ascii="Times New Roman" w:hAnsi="Times New Roman" w:cs="Times New Roman"/>
          <w:sz w:val="28"/>
          <w:szCs w:val="28"/>
        </w:rPr>
        <w:t>рассчитан на 2025 год в сумме 213 тыс. рублей. В 2026 и 2027 годах поступления составят 225 тыс. рублей и 245 тыс. рублей соответственно.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патентной системы налогообложения,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1 млн 612 тыс. рублей. В 2026 и 2027 годах поступления составят 1 млн 854 тыс. рублей и 2 млн 132 тыс. рублей соответственно.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Налог на имущество организаций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7 млн 207 тыс. рублей, по сравнению с ожидаемой оценкой 2024 года рост на 21% (+ 1 млн 274 тыс. рублей), на 2026 год в сумме 7 млн 567 тыс. рублей с ростом к 2025 году на 4% (+ 360 тыс. рублей), на 2027 год в сумме 7 млн 945 тыс. рублей с ростом к 2026 году на 5% (+ 378 тыс. рублей).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Поступление</w:t>
      </w:r>
      <w:r w:rsidRPr="00447AA3">
        <w:rPr>
          <w:rFonts w:ascii="Times New Roman" w:hAnsi="Times New Roman" w:cs="Times New Roman"/>
          <w:i/>
          <w:sz w:val="28"/>
          <w:szCs w:val="28"/>
        </w:rPr>
        <w:t xml:space="preserve"> государственной пошлины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5 млн 386 тыс. рублей, по сравнению с ожидаемой оценкой 2024 года незначительное увеличение на 3% (+ 186 тыс. рублей), на 2026 год прогнозируется в сумме 6 млн 108 тыс. рублей с ростом к 2025 году на 13% (+722 тыс. рублей), на 2027 год прогнозируется в сумме 6 млн рублей с ростом к 2026 году на 13% (+851 тыс. рублей). 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</w:t>
      </w:r>
      <w:r w:rsidRPr="00447AA3">
        <w:rPr>
          <w:rFonts w:ascii="Times New Roman" w:hAnsi="Times New Roman" w:cs="Times New Roman"/>
          <w:sz w:val="28"/>
          <w:szCs w:val="28"/>
        </w:rPr>
        <w:t>кожуунного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бюджета Улуг-Хемского кожууна 2025 год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запланированы в сумме 4 млн 471 тыс. рублей или со снижением к ожидаемой оценке 2024 года на 7% или на (-1 млн 002 тыс.  рублей). На 2026 год поступление прогнозируется в сумме 5 млн 124 тыс. рублей, с ростом к прогнозному значению 2025 года на 14% (+653 тыс. рублей), на 2027 год прогнозируется в сумме 5 млн 324 тыс. рублей или с ростом к 2026 году на 3% (+200 тыс. рублей).</w:t>
      </w:r>
    </w:p>
    <w:p w:rsidR="00447AA3" w:rsidRPr="00447AA3" w:rsidRDefault="00447AA3" w:rsidP="00447AA3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В составе неналоговых доходов бюджета на 2025 год входят: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Доходы от использования имущества</w:t>
      </w:r>
      <w:r w:rsidRPr="00447AA3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на 2025 год рассчитан в сумме 2 млн 853 тыс. рублей или со снижением к ожидаемой оценке 2024 года на 11% (+365 тыс. рублей). На 2026 год в сумме 3 млн 344 тыс. рублей с ростом к 2025 году на 17% (+491 тыс. рублей), на 2027 год в сумме 3 млн 478 тыс. рублей, с ростом к прогнозному значению 2026 года 4% (+ 134 тыс. рублей).</w:t>
      </w:r>
    </w:p>
    <w:p w:rsidR="00447AA3" w:rsidRPr="00447AA3" w:rsidRDefault="00447AA3" w:rsidP="00447AA3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>Платежи при пользовании природными ресурсами.</w:t>
      </w:r>
      <w:r w:rsidRPr="00447AA3">
        <w:rPr>
          <w:rFonts w:ascii="Times New Roman" w:hAnsi="Times New Roman" w:cs="Times New Roman"/>
          <w:sz w:val="28"/>
          <w:szCs w:val="28"/>
        </w:rPr>
        <w:t xml:space="preserve"> Прогноз поступлений данного вида доходов на 2025 год составляет 544 тыс. рублей или с ростом к ожидаемой оценке 2024 года на 5% (+ 28 тыс. рублей), в 2026 году – 571 тыс. рублей, в 2027 году – 600 тыс. рублей.</w:t>
      </w:r>
    </w:p>
    <w:p w:rsidR="00447AA3" w:rsidRPr="00447AA3" w:rsidRDefault="00447AA3" w:rsidP="00447AA3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t xml:space="preserve">Доходы от продажи материальных и нематериальных активов (продажа земельных участков). </w:t>
      </w:r>
      <w:r w:rsidRPr="00447AA3">
        <w:rPr>
          <w:rFonts w:ascii="Times New Roman" w:hAnsi="Times New Roman" w:cs="Times New Roman"/>
          <w:sz w:val="28"/>
          <w:szCs w:val="28"/>
        </w:rPr>
        <w:t xml:space="preserve"> Прогноз поступлений данного вида доходов на 2025 год составляет 500 тыс. рублей или на уровне 2025 года, в 2026 году – 624 тыс. рублей, в 2027 году – 649 тыс. рублей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i/>
          <w:sz w:val="28"/>
          <w:szCs w:val="28"/>
        </w:rPr>
        <w:lastRenderedPageBreak/>
        <w:t>Штрафы, санкции, возмещение ущерба</w:t>
      </w:r>
      <w:r w:rsidRPr="00447AA3">
        <w:rPr>
          <w:rFonts w:ascii="Times New Roman" w:hAnsi="Times New Roman" w:cs="Times New Roman"/>
          <w:sz w:val="28"/>
          <w:szCs w:val="28"/>
        </w:rPr>
        <w:t xml:space="preserve"> в 2025 году рассчитан в сумме 574 тыс. руб. с ростом к ожидаемой оценке 2024 года на 2% или (+ 11 тыс. рублей). В 2026 году – 585 тыс. рублей, в 2027 году – 597 тыс. рублей.</w:t>
      </w:r>
    </w:p>
    <w:p w:rsidR="006E4EE9" w:rsidRPr="00B836AE" w:rsidRDefault="006E4EE9" w:rsidP="001C797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6AE">
        <w:rPr>
          <w:rFonts w:ascii="Times New Roman" w:hAnsi="Times New Roman"/>
          <w:b/>
          <w:sz w:val="28"/>
          <w:szCs w:val="28"/>
          <w:u w:val="single"/>
        </w:rPr>
        <w:t>2.  Безвозмездные поступления.</w:t>
      </w:r>
    </w:p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>В составе доходов кожуунного бюджета предусматриваются безвозмездные поступления из республиканского бюджета. Объем указанных средств, предусмотренный проектом решения, характеризуется показателями, приведенными в таблице.</w:t>
      </w:r>
    </w:p>
    <w:p w:rsidR="006E4EE9" w:rsidRPr="00001AE2" w:rsidRDefault="006E4EE9" w:rsidP="006E4EE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 xml:space="preserve">Общая сумма безвозмездных поступлений на </w:t>
      </w:r>
      <w:r>
        <w:rPr>
          <w:rFonts w:ascii="Times New Roman" w:hAnsi="Times New Roman"/>
          <w:sz w:val="28"/>
          <w:szCs w:val="28"/>
        </w:rPr>
        <w:t>202</w:t>
      </w:r>
      <w:r w:rsidR="00E53D52" w:rsidRPr="00E53D52">
        <w:rPr>
          <w:rFonts w:ascii="Times New Roman" w:hAnsi="Times New Roman"/>
          <w:sz w:val="28"/>
          <w:szCs w:val="28"/>
        </w:rPr>
        <w:t>5</w:t>
      </w:r>
      <w:r w:rsidRPr="00B836AE">
        <w:rPr>
          <w:rFonts w:ascii="Times New Roman" w:hAnsi="Times New Roman"/>
          <w:sz w:val="28"/>
          <w:szCs w:val="28"/>
        </w:rPr>
        <w:t xml:space="preserve"> год составляет 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1 млрд. </w:t>
      </w:r>
      <w:r w:rsidR="00DC2FB3">
        <w:rPr>
          <w:rFonts w:ascii="Times New Roman" w:hAnsi="Times New Roman"/>
          <w:b/>
          <w:bCs/>
          <w:sz w:val="28"/>
          <w:szCs w:val="28"/>
        </w:rPr>
        <w:t>489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млн. </w:t>
      </w:r>
      <w:r w:rsidR="00DC2FB3">
        <w:rPr>
          <w:rFonts w:ascii="Times New Roman" w:hAnsi="Times New Roman"/>
          <w:b/>
          <w:bCs/>
          <w:sz w:val="28"/>
          <w:szCs w:val="28"/>
        </w:rPr>
        <w:t>019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AE2">
        <w:rPr>
          <w:rFonts w:ascii="Times New Roman" w:hAnsi="Times New Roman"/>
          <w:b/>
          <w:sz w:val="28"/>
          <w:szCs w:val="28"/>
        </w:rPr>
        <w:t xml:space="preserve">тыс. рублей. </w:t>
      </w:r>
    </w:p>
    <w:tbl>
      <w:tblPr>
        <w:tblW w:w="9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2761"/>
      </w:tblGrid>
      <w:tr w:rsidR="00E53D52" w:rsidRPr="00001AE2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E53D52" w:rsidRPr="00001AE2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1 944 165,1</w:t>
            </w:r>
          </w:p>
        </w:tc>
      </w:tr>
      <w:tr w:rsidR="00E53D52" w:rsidRPr="005269BC" w:rsidTr="001C7978">
        <w:trPr>
          <w:trHeight w:val="458"/>
        </w:trPr>
        <w:tc>
          <w:tcPr>
            <w:tcW w:w="6712" w:type="dxa"/>
            <w:shd w:val="clear" w:color="auto" w:fill="auto"/>
            <w:hideMark/>
          </w:tcPr>
          <w:p w:rsidR="00E53D52" w:rsidRPr="005269BC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1 944 165,1</w:t>
            </w:r>
          </w:p>
        </w:tc>
      </w:tr>
      <w:tr w:rsidR="00E53D52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E53D52" w:rsidRPr="005269BC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155 320,0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vAlign w:val="center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от других бюджетов бюджетной системы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6E4EE9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827 164,0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B87CD7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957 862,1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:rsidR="006E4EE9" w:rsidRPr="00E53D52" w:rsidRDefault="00E53D52" w:rsidP="00E53D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3 819,0</w:t>
            </w:r>
          </w:p>
        </w:tc>
      </w:tr>
    </w:tbl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EE9" w:rsidRDefault="006E4EE9" w:rsidP="006E4EE9">
      <w:pPr>
        <w:pStyle w:val="20"/>
        <w:numPr>
          <w:ilvl w:val="0"/>
          <w:numId w:val="48"/>
        </w:numPr>
        <w:shd w:val="clear" w:color="auto" w:fill="auto"/>
        <w:spacing w:line="240" w:lineRule="auto"/>
        <w:ind w:right="40"/>
        <w:jc w:val="center"/>
        <w:rPr>
          <w:bCs w:val="0"/>
          <w:spacing w:val="0"/>
          <w:sz w:val="28"/>
          <w:szCs w:val="28"/>
          <w:lang w:eastAsia="ru-RU"/>
        </w:rPr>
      </w:pPr>
      <w:r w:rsidRPr="00B836AE">
        <w:rPr>
          <w:bCs w:val="0"/>
          <w:spacing w:val="0"/>
          <w:sz w:val="28"/>
          <w:szCs w:val="28"/>
          <w:lang w:eastAsia="ru-RU"/>
        </w:rPr>
        <w:t>РАСХОДЫ</w:t>
      </w:r>
    </w:p>
    <w:p w:rsidR="001C7978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Cs w:val="0"/>
          <w:spacing w:val="0"/>
          <w:sz w:val="28"/>
          <w:szCs w:val="28"/>
          <w:lang w:eastAsia="ru-RU"/>
        </w:rPr>
        <w:t xml:space="preserve">Расходы 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>консолидированного бюджета на 202</w:t>
      </w:r>
      <w:r w:rsidR="00E53D52" w:rsidRPr="00E53D52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год предусмотрены в сумме </w:t>
      </w:r>
      <w:r w:rsidR="005C75C0" w:rsidRPr="00923430">
        <w:rPr>
          <w:b w:val="0"/>
          <w:bCs w:val="0"/>
          <w:spacing w:val="0"/>
          <w:sz w:val="28"/>
          <w:szCs w:val="28"/>
          <w:lang w:eastAsia="ru-RU"/>
        </w:rPr>
        <w:t xml:space="preserve">2 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млрд. </w:t>
      </w:r>
      <w:r w:rsidR="005C75C0" w:rsidRPr="00923430">
        <w:rPr>
          <w:b w:val="0"/>
          <w:bCs w:val="0"/>
          <w:spacing w:val="0"/>
          <w:sz w:val="28"/>
          <w:szCs w:val="28"/>
          <w:lang w:eastAsia="ru-RU"/>
        </w:rPr>
        <w:t>230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6</w:t>
      </w:r>
      <w:r w:rsidR="005C75C0" w:rsidRPr="00923430">
        <w:rPr>
          <w:b w:val="0"/>
          <w:bCs w:val="0"/>
          <w:spacing w:val="0"/>
          <w:sz w:val="28"/>
          <w:szCs w:val="28"/>
          <w:lang w:eastAsia="ru-RU"/>
        </w:rPr>
        <w:t>06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>рублей, в сравнении с аналогичным периодом 202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увеличение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9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609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6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16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тыс. рублей (2024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 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>1 млрд. 720 млн. 990 тыс.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рублей), в том числе:</w:t>
      </w:r>
    </w:p>
    <w:p w:rsidR="007B1F06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- кожуунный бюджет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2 млрд. 115 млн. 615 тыс.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>рублей, что относительно 202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увеличилась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на 2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8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483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007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. </w:t>
      </w:r>
    </w:p>
    <w:p w:rsidR="001C7978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- бюджет города Шагонар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59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553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рублей;</w:t>
      </w:r>
    </w:p>
    <w:p w:rsidR="005269BC" w:rsidRPr="001C7978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>- бюджет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ы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поселений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56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46D38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37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На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202</w:t>
      </w:r>
      <w:r w:rsidR="00923430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 в бюджете предусмотрены следующие расходы:</w:t>
      </w:r>
    </w:p>
    <w:p w:rsidR="006E4EE9" w:rsidRPr="008519F5" w:rsidRDefault="006E4EE9" w:rsidP="008519F5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4C608A">
        <w:rPr>
          <w:b w:val="0"/>
          <w:bCs w:val="0"/>
          <w:spacing w:val="0"/>
          <w:sz w:val="28"/>
          <w:szCs w:val="28"/>
          <w:lang w:eastAsia="ru-RU"/>
        </w:rPr>
        <w:t>Заработная плата</w:t>
      </w:r>
      <w:r w:rsidR="00D9380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бюджетных учреждений муниципального района </w:t>
      </w:r>
      <w:r w:rsidR="001231A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предусмотрены 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>–</w:t>
      </w:r>
      <w:r w:rsidR="001231A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 xml:space="preserve">1 млрд. 105 млн. 776 тыс.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руб., по сравнению с АППГ увеличение на </w:t>
      </w:r>
      <w:r w:rsidR="004F6BBC" w:rsidRPr="004C608A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C404D9" w:rsidRPr="004C608A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>23</w:t>
      </w:r>
      <w:r w:rsidR="005030FE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 w:rsidRPr="004C608A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>551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 тыс. руб. (202</w:t>
      </w:r>
      <w:r w:rsidR="008519F5" w:rsidRPr="004C608A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 xml:space="preserve">982 млн. 225 тыс.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руб.), за счет собственных доходов </w:t>
      </w:r>
      <w:r w:rsidR="00621DEA" w:rsidRPr="004C608A">
        <w:rPr>
          <w:b w:val="0"/>
          <w:bCs w:val="0"/>
          <w:spacing w:val="0"/>
          <w:sz w:val="28"/>
          <w:szCs w:val="28"/>
          <w:lang w:eastAsia="ru-RU"/>
        </w:rPr>
        <w:t>консолидированного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 бюджета</w:t>
      </w:r>
      <w:r w:rsidR="00621DEA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запланировано на выплату заработной платы 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 xml:space="preserve">70 млн. 947 тыс.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>руб. (АППГ-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64</w:t>
      </w:r>
      <w:r w:rsidR="004077D3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4C608A" w:rsidRPr="004C608A">
        <w:rPr>
          <w:b w:val="0"/>
          <w:bCs w:val="0"/>
          <w:spacing w:val="0"/>
          <w:sz w:val="28"/>
          <w:szCs w:val="28"/>
          <w:lang w:eastAsia="ru-RU"/>
        </w:rPr>
        <w:t xml:space="preserve">426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>тыс. рублей</w:t>
      </w:r>
      <w:r w:rsidR="00FE2FE5" w:rsidRPr="004C608A">
        <w:rPr>
          <w:b w:val="0"/>
          <w:bCs w:val="0"/>
          <w:spacing w:val="0"/>
          <w:sz w:val="28"/>
          <w:szCs w:val="28"/>
          <w:lang w:eastAsia="ru-RU"/>
        </w:rPr>
        <w:t xml:space="preserve">). </w:t>
      </w:r>
      <w:r w:rsidR="0009231E" w:rsidRPr="004C608A">
        <w:rPr>
          <w:b w:val="0"/>
          <w:bCs w:val="0"/>
          <w:i/>
          <w:spacing w:val="0"/>
          <w:sz w:val="28"/>
          <w:szCs w:val="28"/>
          <w:lang w:eastAsia="ru-RU"/>
        </w:rPr>
        <w:t>(Заработная плата бюджетны</w:t>
      </w:r>
      <w:r w:rsidR="0028253B" w:rsidRPr="004C608A">
        <w:rPr>
          <w:b w:val="0"/>
          <w:bCs w:val="0"/>
          <w:i/>
          <w:spacing w:val="0"/>
          <w:sz w:val="28"/>
          <w:szCs w:val="28"/>
          <w:lang w:eastAsia="ru-RU"/>
        </w:rPr>
        <w:t>х учреждений</w:t>
      </w:r>
      <w:r w:rsidR="00541E28" w:rsidRPr="004C608A">
        <w:rPr>
          <w:b w:val="0"/>
          <w:bCs w:val="0"/>
          <w:i/>
          <w:spacing w:val="0"/>
          <w:sz w:val="28"/>
          <w:szCs w:val="28"/>
          <w:lang w:eastAsia="ru-RU"/>
        </w:rPr>
        <w:t xml:space="preserve"> за 202</w:t>
      </w:r>
      <w:r w:rsidR="004C608A" w:rsidRPr="004C608A">
        <w:rPr>
          <w:b w:val="0"/>
          <w:bCs w:val="0"/>
          <w:i/>
          <w:spacing w:val="0"/>
          <w:sz w:val="28"/>
          <w:szCs w:val="28"/>
          <w:lang w:eastAsia="ru-RU"/>
        </w:rPr>
        <w:t>5</w:t>
      </w:r>
      <w:r w:rsidR="00541E28" w:rsidRPr="004C608A">
        <w:rPr>
          <w:b w:val="0"/>
          <w:bCs w:val="0"/>
          <w:i/>
          <w:spacing w:val="0"/>
          <w:sz w:val="28"/>
          <w:szCs w:val="28"/>
          <w:lang w:eastAsia="ru-RU"/>
        </w:rPr>
        <w:t xml:space="preserve"> год </w:t>
      </w:r>
      <w:r w:rsidR="0009231E" w:rsidRPr="004C608A">
        <w:rPr>
          <w:b w:val="0"/>
          <w:bCs w:val="0"/>
          <w:i/>
          <w:spacing w:val="0"/>
          <w:sz w:val="28"/>
          <w:szCs w:val="28"/>
          <w:lang w:eastAsia="ru-RU"/>
        </w:rPr>
        <w:t>заложено з</w:t>
      </w:r>
      <w:r w:rsidR="00541E28" w:rsidRPr="004C608A">
        <w:rPr>
          <w:b w:val="0"/>
          <w:bCs w:val="0"/>
          <w:i/>
          <w:spacing w:val="0"/>
          <w:sz w:val="28"/>
          <w:szCs w:val="28"/>
          <w:lang w:eastAsia="ru-RU"/>
        </w:rPr>
        <w:t xml:space="preserve">а </w:t>
      </w:r>
      <w:r w:rsidR="004C608A" w:rsidRPr="004C608A">
        <w:rPr>
          <w:bCs w:val="0"/>
          <w:i/>
          <w:spacing w:val="0"/>
          <w:sz w:val="28"/>
          <w:szCs w:val="28"/>
          <w:lang w:eastAsia="ru-RU"/>
        </w:rPr>
        <w:t>восемь</w:t>
      </w:r>
      <w:r w:rsidR="00541E28" w:rsidRPr="004C608A">
        <w:rPr>
          <w:bCs w:val="0"/>
          <w:i/>
          <w:spacing w:val="0"/>
          <w:sz w:val="28"/>
          <w:szCs w:val="28"/>
          <w:lang w:eastAsia="ru-RU"/>
        </w:rPr>
        <w:t xml:space="preserve"> месяцев</w:t>
      </w:r>
      <w:r w:rsidR="0009231E" w:rsidRPr="004C608A">
        <w:rPr>
          <w:bCs w:val="0"/>
          <w:i/>
          <w:spacing w:val="0"/>
          <w:sz w:val="28"/>
          <w:szCs w:val="28"/>
          <w:lang w:eastAsia="ru-RU"/>
        </w:rPr>
        <w:t>)</w:t>
      </w:r>
      <w:r w:rsidR="00541E28" w:rsidRPr="004C608A">
        <w:rPr>
          <w:b w:val="0"/>
          <w:bCs w:val="0"/>
          <w:i/>
          <w:spacing w:val="0"/>
          <w:sz w:val="28"/>
          <w:szCs w:val="28"/>
          <w:lang w:eastAsia="ru-RU"/>
        </w:rPr>
        <w:t>.</w:t>
      </w:r>
    </w:p>
    <w:p w:rsidR="00363A4E" w:rsidRPr="00363A4E" w:rsidRDefault="00363A4E" w:rsidP="00363A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Основной целью при планировании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541E28" w:rsidRPr="005D35C4" w:rsidRDefault="00363A4E" w:rsidP="005D35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Более 90 процентов бюджетных средств планируется направить на социально-значимые и первоочередные расходы: коммунальные услуги, содержание бюджетной сферы и на развитие кожууна.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085063">
        <w:rPr>
          <w:b w:val="0"/>
          <w:bCs w:val="0"/>
          <w:spacing w:val="0"/>
          <w:sz w:val="28"/>
          <w:szCs w:val="28"/>
          <w:lang w:eastAsia="ru-RU"/>
        </w:rPr>
        <w:lastRenderedPageBreak/>
        <w:t xml:space="preserve">На коммунальные расходы всего предусмотрено, </w:t>
      </w:r>
      <w:r w:rsidR="004077D3" w:rsidRPr="00085063">
        <w:rPr>
          <w:b w:val="0"/>
          <w:bCs w:val="0"/>
          <w:spacing w:val="0"/>
          <w:sz w:val="28"/>
          <w:szCs w:val="28"/>
          <w:lang w:eastAsia="ru-RU"/>
        </w:rPr>
        <w:t>согласно муниципальным контрактам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и договор</w:t>
      </w:r>
      <w:r w:rsidR="004077D3" w:rsidRPr="00085063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85 млн. 929 тыс. рублей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>, по сравнению 202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годом увеличение на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10</w:t>
      </w:r>
      <w:r w:rsidR="00AB3956" w:rsidRPr="0008506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 w:rsidRPr="00085063">
        <w:rPr>
          <w:b w:val="0"/>
          <w:bCs w:val="0"/>
          <w:spacing w:val="0"/>
          <w:sz w:val="28"/>
          <w:szCs w:val="28"/>
          <w:lang w:eastAsia="ru-RU"/>
        </w:rPr>
        <w:t>млн.</w:t>
      </w:r>
      <w:r w:rsidR="00AB3956" w:rsidRPr="0008506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659</w:t>
      </w:r>
      <w:r w:rsidR="004F6BBC" w:rsidRPr="0008506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тыс. руб., (АППГ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75 млн. 270 тыс. руб.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) за счет собственных доходов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кожуунного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бюджета на 202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год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предусмотрено 32 млн. 175 тыс. рублей (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АППГ </w:t>
      </w:r>
      <w:r w:rsidR="00085063" w:rsidRPr="00085063">
        <w:rPr>
          <w:b w:val="0"/>
          <w:bCs w:val="0"/>
          <w:spacing w:val="0"/>
          <w:sz w:val="28"/>
          <w:szCs w:val="28"/>
          <w:lang w:eastAsia="ru-RU"/>
        </w:rPr>
        <w:t>23 млн. 194 тыс. руб.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>).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</w:t>
      </w:r>
      <w:r>
        <w:rPr>
          <w:b w:val="0"/>
          <w:bCs w:val="0"/>
          <w:spacing w:val="0"/>
          <w:sz w:val="28"/>
          <w:szCs w:val="28"/>
          <w:lang w:eastAsia="ru-RU"/>
        </w:rPr>
        <w:t>раздел</w:t>
      </w:r>
      <w:r w:rsidR="005474DF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-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02457">
        <w:rPr>
          <w:bCs w:val="0"/>
          <w:spacing w:val="0"/>
          <w:sz w:val="28"/>
          <w:szCs w:val="28"/>
          <w:lang w:eastAsia="ru-RU"/>
        </w:rPr>
        <w:t>Общегосударственные вопросы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всего предусмотрено </w:t>
      </w:r>
      <w:r w:rsidR="007B1F06">
        <w:rPr>
          <w:b w:val="0"/>
          <w:bCs w:val="0"/>
          <w:spacing w:val="0"/>
          <w:sz w:val="28"/>
          <w:szCs w:val="28"/>
          <w:lang w:eastAsia="ru-RU"/>
        </w:rPr>
        <w:t xml:space="preserve">59 млн 941 тыс. 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рублей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сравнению </w:t>
      </w:r>
      <w:r>
        <w:rPr>
          <w:b w:val="0"/>
          <w:bCs w:val="0"/>
          <w:spacing w:val="0"/>
          <w:sz w:val="28"/>
          <w:szCs w:val="28"/>
          <w:lang w:eastAsia="ru-RU"/>
        </w:rPr>
        <w:t>с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АППГ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увеличение </w:t>
      </w:r>
      <w:r w:rsidR="004077D3" w:rsidRPr="00B836AE">
        <w:rPr>
          <w:b w:val="0"/>
          <w:bCs w:val="0"/>
          <w:spacing w:val="0"/>
          <w:sz w:val="28"/>
          <w:szCs w:val="28"/>
          <w:lang w:eastAsia="ru-RU"/>
        </w:rPr>
        <w:t xml:space="preserve">составляет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289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тыс. руб. 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К данному разделу относятся следующие расходы: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>– содержание аппаратов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Администрации Улуг-Хемского кожууна, Хурала представителей Улуг-Хемского кожууна, Контрольно-счетной палаты Улуг-Хемского кожууна, Финансового управления Улуг-Хемского кожууна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6E4EE9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– резервный фонд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10</w:t>
      </w:r>
      <w:r w:rsidR="000C656A">
        <w:rPr>
          <w:b w:val="0"/>
          <w:bCs w:val="0"/>
          <w:spacing w:val="0"/>
          <w:sz w:val="28"/>
          <w:szCs w:val="28"/>
          <w:lang w:eastAsia="ru-RU"/>
        </w:rPr>
        <w:t>00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. рублей;</w:t>
      </w:r>
    </w:p>
    <w:p w:rsidR="00581654" w:rsidRPr="00581654" w:rsidRDefault="00581654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581654">
        <w:rPr>
          <w:bCs w:val="0"/>
          <w:spacing w:val="0"/>
          <w:sz w:val="28"/>
          <w:szCs w:val="28"/>
          <w:lang w:eastAsia="ru-RU"/>
        </w:rPr>
        <w:t>Национальная оборона</w:t>
      </w:r>
      <w:r>
        <w:rPr>
          <w:bCs w:val="0"/>
          <w:spacing w:val="0"/>
          <w:sz w:val="28"/>
          <w:szCs w:val="28"/>
          <w:lang w:eastAsia="ru-RU"/>
        </w:rPr>
        <w:t xml:space="preserve"> </w:t>
      </w:r>
      <w:r w:rsidRPr="00581654">
        <w:rPr>
          <w:b w:val="0"/>
          <w:bCs w:val="0"/>
          <w:spacing w:val="0"/>
          <w:sz w:val="28"/>
          <w:szCs w:val="28"/>
          <w:lang w:eastAsia="ru-RU"/>
        </w:rPr>
        <w:t>всего предусмотрено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2 млн. 502 тыс. рублей;</w:t>
      </w:r>
    </w:p>
    <w:p w:rsidR="0041326A" w:rsidRDefault="0041326A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41326A">
        <w:rPr>
          <w:bCs w:val="0"/>
          <w:spacing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всего предусмотрено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 xml:space="preserve">6 млн. 909 тыс. </w:t>
      </w:r>
      <w:r>
        <w:rPr>
          <w:b w:val="0"/>
          <w:bCs w:val="0"/>
          <w:spacing w:val="0"/>
          <w:sz w:val="28"/>
          <w:szCs w:val="28"/>
          <w:lang w:eastAsia="ru-RU"/>
        </w:rPr>
        <w:t>рублей.</w:t>
      </w:r>
    </w:p>
    <w:p w:rsidR="005474DF" w:rsidRPr="005474DF" w:rsidRDefault="00072B11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При этом больше половины бюджета (</w:t>
      </w:r>
      <w:bookmarkStart w:id="1" w:name="_Hlk119257038"/>
      <w:r w:rsidR="00581654">
        <w:rPr>
          <w:rFonts w:ascii="Times New Roman" w:eastAsia="Calibri" w:hAnsi="Times New Roman" w:cs="Times New Roman"/>
          <w:sz w:val="28"/>
          <w:szCs w:val="28"/>
        </w:rPr>
        <w:t>74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1 млрд. 576 млн. 71 тыс.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) направят в сферу образования.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654">
        <w:rPr>
          <w:rFonts w:ascii="Times New Roman" w:eastAsia="Calibri" w:hAnsi="Times New Roman" w:cs="Times New Roman"/>
          <w:sz w:val="28"/>
          <w:szCs w:val="28"/>
        </w:rPr>
        <w:t>4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% расходов бюджета (</w:t>
      </w:r>
      <w:r w:rsidR="00581654">
        <w:rPr>
          <w:rFonts w:ascii="Times New Roman" w:eastAsia="Calibri" w:hAnsi="Times New Roman" w:cs="Times New Roman"/>
          <w:sz w:val="28"/>
          <w:szCs w:val="28"/>
        </w:rPr>
        <w:t>92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581654">
        <w:rPr>
          <w:rFonts w:ascii="Times New Roman" w:eastAsia="Calibri" w:hAnsi="Times New Roman" w:cs="Times New Roman"/>
          <w:sz w:val="28"/>
          <w:szCs w:val="28"/>
        </w:rPr>
        <w:t>423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рублей) направляется на социальное обеспечение.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>2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581654">
        <w:rPr>
          <w:rFonts w:ascii="Times New Roman" w:eastAsia="Calibri" w:hAnsi="Times New Roman" w:cs="Times New Roman"/>
          <w:sz w:val="28"/>
          <w:szCs w:val="28"/>
        </w:rPr>
        <w:t>52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581654">
        <w:rPr>
          <w:rFonts w:ascii="Times New Roman" w:eastAsia="Calibri" w:hAnsi="Times New Roman" w:cs="Times New Roman"/>
          <w:sz w:val="28"/>
          <w:szCs w:val="28"/>
        </w:rPr>
        <w:t>684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на национальную экономику, 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7%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на жилищно-коммунальное хозяйство также более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>15</w:t>
      </w:r>
      <w:r w:rsidR="00581654">
        <w:rPr>
          <w:rFonts w:ascii="Times New Roman" w:eastAsia="Calibri" w:hAnsi="Times New Roman" w:cs="Times New Roman"/>
          <w:sz w:val="28"/>
          <w:szCs w:val="28"/>
        </w:rPr>
        <w:t>8</w:t>
      </w:r>
      <w:r w:rsidR="004F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млн </w:t>
      </w:r>
      <w:r w:rsidR="00581654">
        <w:rPr>
          <w:rFonts w:ascii="Times New Roman" w:eastAsia="Calibri" w:hAnsi="Times New Roman" w:cs="Times New Roman"/>
          <w:sz w:val="28"/>
          <w:szCs w:val="28"/>
        </w:rPr>
        <w:t>659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Для исполнения поставленных задач Правительством Республики Тыва, среди приоритетов, которые ставят поддержку экономики, сельского хозяйства, строительства, модернизация здравоохранения, развития и поддержки производства, туризма, спорта, дорожного хозяйства, качественной перезагрузки социального блока, на 202</w:t>
      </w:r>
      <w:r w:rsidR="00581654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по муниципальным программам:</w:t>
      </w:r>
    </w:p>
    <w:p w:rsidR="00337603" w:rsidRDefault="005474DF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В том числе по муниципальн</w:t>
      </w:r>
      <w:r w:rsidR="00337603">
        <w:rPr>
          <w:rFonts w:ascii="Times New Roman" w:eastAsia="Calibri" w:hAnsi="Times New Roman" w:cs="Times New Roman"/>
          <w:sz w:val="28"/>
          <w:szCs w:val="28"/>
        </w:rPr>
        <w:t>ым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7603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72B11" w:rsidRDefault="00072B11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2B11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B11">
        <w:rPr>
          <w:rFonts w:ascii="Times New Roman" w:eastAsia="Calibri" w:hAnsi="Times New Roman" w:cs="Times New Roman"/>
          <w:sz w:val="28"/>
          <w:szCs w:val="28"/>
        </w:rPr>
        <w:t>программа "Социальная поддержка граждан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654">
        <w:rPr>
          <w:rFonts w:ascii="Times New Roman" w:eastAsia="Calibri" w:hAnsi="Times New Roman" w:cs="Times New Roman"/>
          <w:sz w:val="28"/>
          <w:szCs w:val="28"/>
        </w:rPr>
        <w:t>64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581654">
        <w:rPr>
          <w:rFonts w:ascii="Times New Roman" w:eastAsia="Calibri" w:hAnsi="Times New Roman" w:cs="Times New Roman"/>
          <w:sz w:val="28"/>
          <w:szCs w:val="28"/>
        </w:rPr>
        <w:t>128</w:t>
      </w:r>
      <w:r w:rsidR="00EF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>
        <w:rPr>
          <w:rFonts w:ascii="Times New Roman" w:eastAsia="Calibri" w:hAnsi="Times New Roman" w:cs="Times New Roman"/>
          <w:sz w:val="28"/>
          <w:szCs w:val="28"/>
        </w:rPr>
        <w:t>тыс. рублей;</w:t>
      </w:r>
      <w:r w:rsidR="00EF1FEA" w:rsidRPr="00EF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6A" w:rsidRDefault="0041326A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и поддержка культуры в Улуг-Хемском кожууне"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654">
        <w:rPr>
          <w:rFonts w:ascii="Times New Roman" w:eastAsia="Calibri" w:hAnsi="Times New Roman" w:cs="Times New Roman"/>
          <w:sz w:val="28"/>
          <w:szCs w:val="28"/>
        </w:rPr>
        <w:t>101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581654">
        <w:rPr>
          <w:rFonts w:ascii="Times New Roman" w:eastAsia="Calibri" w:hAnsi="Times New Roman" w:cs="Times New Roman"/>
          <w:sz w:val="28"/>
          <w:szCs w:val="28"/>
        </w:rPr>
        <w:t>. 366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"Создание условий для устойчивого экономического развития"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2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581654">
        <w:rPr>
          <w:rFonts w:ascii="Times New Roman" w:eastAsia="Calibri" w:hAnsi="Times New Roman" w:cs="Times New Roman"/>
          <w:sz w:val="28"/>
          <w:szCs w:val="28"/>
        </w:rPr>
        <w:t>.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654">
        <w:rPr>
          <w:rFonts w:ascii="Times New Roman" w:eastAsia="Calibri" w:hAnsi="Times New Roman" w:cs="Times New Roman"/>
          <w:sz w:val="28"/>
          <w:szCs w:val="28"/>
        </w:rPr>
        <w:t>544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образования и воспитания в Улуг-Хемском кожуун Республики Тыва"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FEA">
        <w:rPr>
          <w:rFonts w:ascii="Times New Roman" w:eastAsia="Calibri" w:hAnsi="Times New Roman" w:cs="Times New Roman"/>
          <w:sz w:val="28"/>
          <w:szCs w:val="28"/>
        </w:rPr>
        <w:t>9</w:t>
      </w:r>
      <w:r w:rsidR="00581654">
        <w:rPr>
          <w:rFonts w:ascii="Times New Roman" w:eastAsia="Calibri" w:hAnsi="Times New Roman" w:cs="Times New Roman"/>
          <w:sz w:val="28"/>
          <w:szCs w:val="28"/>
        </w:rPr>
        <w:t>90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EF1FEA">
        <w:rPr>
          <w:rFonts w:ascii="Times New Roman" w:eastAsia="Calibri" w:hAnsi="Times New Roman" w:cs="Times New Roman"/>
          <w:sz w:val="28"/>
          <w:szCs w:val="28"/>
        </w:rPr>
        <w:t>1</w:t>
      </w:r>
      <w:r w:rsidR="00581654">
        <w:rPr>
          <w:rFonts w:ascii="Times New Roman" w:eastAsia="Calibri" w:hAnsi="Times New Roman" w:cs="Times New Roman"/>
          <w:sz w:val="28"/>
          <w:szCs w:val="28"/>
        </w:rPr>
        <w:t>95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DB3754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"Реализация муниципальной программы "Создание условий для социального развития Улуг-Хемского кожууна"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4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461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>, в том числе 3</w:t>
      </w:r>
      <w:r w:rsidR="00085063" w:rsidRPr="00DB3754">
        <w:rPr>
          <w:rFonts w:ascii="Times New Roman" w:eastAsia="Calibri" w:hAnsi="Times New Roman" w:cs="Times New Roman"/>
          <w:sz w:val="28"/>
          <w:szCs w:val="28"/>
        </w:rPr>
        <w:t>0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 xml:space="preserve">0 тыс. рублей на 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м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>едицинские услуги (в том числе диспансеризация, медицинский осмотр и освидетельствование работников (включая предрейсовые осмотры водителей), состоящих в штате учреждения, проведение медицинских анализов)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, 2</w:t>
      </w:r>
      <w:r w:rsidR="00085063" w:rsidRPr="00DB3754">
        <w:rPr>
          <w:rFonts w:ascii="Times New Roman" w:eastAsia="Calibri" w:hAnsi="Times New Roman" w:cs="Times New Roman"/>
          <w:sz w:val="28"/>
          <w:szCs w:val="28"/>
        </w:rPr>
        <w:t>0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0 тыс. рублей на дезинфекцию</w:t>
      </w:r>
      <w:r w:rsidR="00DB3754" w:rsidRPr="00DB3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630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"Профилактика преступлений и иных правонарушений в Улуг-Хемском кожууне Республики Тыва" </w:t>
      </w:r>
      <w:r w:rsidR="008D34CD">
        <w:rPr>
          <w:rFonts w:ascii="Times New Roman" w:eastAsia="Calibri" w:hAnsi="Times New Roman" w:cs="Times New Roman"/>
          <w:sz w:val="28"/>
          <w:szCs w:val="28"/>
        </w:rPr>
        <w:t>3 млн. 97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эффективности и совершенствования муниципального управления в администрации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929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безопасности дорожного движения"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23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58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млн. </w:t>
      </w:r>
      <w:r w:rsidR="008D34CD">
        <w:rPr>
          <w:rFonts w:ascii="Times New Roman" w:eastAsia="Calibri" w:hAnsi="Times New Roman" w:cs="Times New Roman"/>
          <w:sz w:val="28"/>
          <w:szCs w:val="28"/>
        </w:rPr>
        <w:t>400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тыс. рублей предоставляются для решения проблем по сельским поселениям.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"Комплексное развитие сельских территорий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656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123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A7D72">
        <w:rPr>
          <w:rFonts w:ascii="Times New Roman" w:eastAsia="Calibri" w:hAnsi="Times New Roman" w:cs="Times New Roman"/>
          <w:sz w:val="28"/>
          <w:szCs w:val="28"/>
        </w:rPr>
        <w:t>, в том числе с</w:t>
      </w:r>
      <w:r w:rsidR="00EA7D72" w:rsidRPr="00EA7D72">
        <w:rPr>
          <w:rFonts w:ascii="Times New Roman" w:eastAsia="Calibri" w:hAnsi="Times New Roman" w:cs="Times New Roman"/>
          <w:sz w:val="28"/>
          <w:szCs w:val="28"/>
        </w:rPr>
        <w:t>убсидии на современный облик сельских территорий в рамках реализации государственной программы "Комплексное развитие сельских территорий"</w:t>
      </w:r>
      <w:r w:rsidR="00EA7D72">
        <w:rPr>
          <w:rFonts w:ascii="Times New Roman" w:eastAsia="Calibri" w:hAnsi="Times New Roman" w:cs="Times New Roman"/>
          <w:sz w:val="28"/>
          <w:szCs w:val="28"/>
        </w:rPr>
        <w:t xml:space="preserve"> 647 млн. 44 тыс. рублей</w:t>
      </w:r>
      <w:r w:rsidR="00413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жильем или улучшение жилищных условий молодых семей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524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"Комплексная программа развития систем жизнеобеспечения Улуг-Хемского кожууна Республики Тыва"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977</w:t>
      </w:r>
      <w:r w:rsidR="008F1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41326A" w:rsidRPr="005E673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, в том числе, на осенне-зимнюю подготовку по ДОУ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261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ОУ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348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по учреждениям культуры 3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Н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а скважины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предусмотрены 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>сельским поселениям сумон Арыскан 1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="005D35C4" w:rsidRPr="005E6737">
        <w:rPr>
          <w:rFonts w:ascii="Times New Roman" w:eastAsia="Calibri" w:hAnsi="Times New Roman" w:cs="Times New Roman"/>
          <w:sz w:val="28"/>
          <w:szCs w:val="28"/>
        </w:rPr>
        <w:t>Торгалыг</w:t>
      </w:r>
      <w:proofErr w:type="spellEnd"/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proofErr w:type="spellStart"/>
      <w:r w:rsidR="005E6737" w:rsidRPr="005E6737">
        <w:rPr>
          <w:rFonts w:ascii="Times New Roman" w:eastAsia="Calibri" w:hAnsi="Times New Roman" w:cs="Times New Roman"/>
          <w:sz w:val="28"/>
          <w:szCs w:val="28"/>
        </w:rPr>
        <w:t>Иштии-Хем</w:t>
      </w:r>
      <w:proofErr w:type="spellEnd"/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0 тыс. рублей, Ийи-Тал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0 тыс. рублей. </w:t>
      </w:r>
      <w:proofErr w:type="spellStart"/>
      <w:r w:rsidR="005D35C4" w:rsidRPr="005E673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и реконструкцию (модернизацию) объектов питьевого водоснабжения в сумме 669 тыс. рублей.</w:t>
      </w:r>
    </w:p>
    <w:p w:rsidR="008D34CD" w:rsidRDefault="008D34CD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D34CD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млн.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"Формирование комфортной городской (сельской) среды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76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</w:t>
      </w:r>
      <w:r w:rsidR="008D34CD">
        <w:rPr>
          <w:rFonts w:ascii="Times New Roman" w:eastAsia="Calibri" w:hAnsi="Times New Roman" w:cs="Times New Roman"/>
          <w:sz w:val="28"/>
          <w:szCs w:val="28"/>
        </w:rPr>
        <w:t>н. 756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E6737">
        <w:rPr>
          <w:rFonts w:ascii="Times New Roman" w:eastAsia="Calibri" w:hAnsi="Times New Roman" w:cs="Times New Roman"/>
          <w:sz w:val="28"/>
          <w:szCs w:val="28"/>
        </w:rPr>
        <w:t>, в том числе с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убсидии местным бюджетам на реализацию программ формирования современной городской среды</w:t>
      </w:r>
      <w:r w:rsidR="005E6737">
        <w:rPr>
          <w:rFonts w:ascii="Times New Roman" w:eastAsia="Calibri" w:hAnsi="Times New Roman" w:cs="Times New Roman"/>
          <w:sz w:val="28"/>
          <w:szCs w:val="28"/>
        </w:rPr>
        <w:t xml:space="preserve"> 2 млн 21 тыс. рублей, с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убсидии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5E6737">
        <w:rPr>
          <w:rFonts w:ascii="Times New Roman" w:eastAsia="Calibri" w:hAnsi="Times New Roman" w:cs="Times New Roman"/>
          <w:sz w:val="28"/>
          <w:szCs w:val="28"/>
        </w:rPr>
        <w:t xml:space="preserve"> 20 млн.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бюджета направляется на развитие образования </w:t>
      </w:r>
      <w:r w:rsidR="008D34CD">
        <w:rPr>
          <w:rFonts w:ascii="Times New Roman" w:eastAsia="Calibri" w:hAnsi="Times New Roman" w:cs="Times New Roman"/>
          <w:sz w:val="28"/>
          <w:szCs w:val="28"/>
        </w:rPr>
        <w:t xml:space="preserve">1 млрд. 576 млн. 71 тыс. 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8D34CD">
        <w:rPr>
          <w:rFonts w:ascii="Times New Roman" w:eastAsia="Calibri" w:hAnsi="Times New Roman" w:cs="Times New Roman"/>
          <w:sz w:val="28"/>
          <w:szCs w:val="28"/>
        </w:rPr>
        <w:t>74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% от всей суммы кожуунного бюджета, по сравнению с 202</w:t>
      </w:r>
      <w:r w:rsidR="008D34CD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="008D34CD">
        <w:rPr>
          <w:rFonts w:ascii="Times New Roman" w:eastAsia="Calibri" w:hAnsi="Times New Roman" w:cs="Times New Roman"/>
          <w:sz w:val="28"/>
          <w:szCs w:val="28"/>
        </w:rPr>
        <w:t>948</w:t>
      </w:r>
      <w:r w:rsidR="008D34CD" w:rsidRPr="00FB495E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8D34CD">
        <w:rPr>
          <w:rFonts w:ascii="Times New Roman" w:eastAsia="Calibri" w:hAnsi="Times New Roman" w:cs="Times New Roman"/>
          <w:sz w:val="28"/>
          <w:szCs w:val="28"/>
        </w:rPr>
        <w:t xml:space="preserve">791 </w:t>
      </w:r>
      <w:r w:rsidR="008D34CD" w:rsidRPr="00FB495E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рублей) рост на </w:t>
      </w:r>
      <w:r w:rsidR="008D34CD">
        <w:rPr>
          <w:rFonts w:ascii="Times New Roman" w:eastAsia="Calibri" w:hAnsi="Times New Roman" w:cs="Times New Roman"/>
          <w:sz w:val="28"/>
          <w:szCs w:val="28"/>
        </w:rPr>
        <w:t>627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280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D34CD">
        <w:rPr>
          <w:rFonts w:ascii="Times New Roman" w:eastAsia="Calibri" w:hAnsi="Times New Roman" w:cs="Times New Roman"/>
          <w:sz w:val="28"/>
          <w:szCs w:val="28"/>
        </w:rPr>
        <w:t>66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%., в том числе на развитие дошкольного образования </w:t>
      </w:r>
      <w:r w:rsidR="008D34CD">
        <w:rPr>
          <w:rFonts w:ascii="Times New Roman" w:eastAsia="Calibri" w:hAnsi="Times New Roman" w:cs="Times New Roman"/>
          <w:sz w:val="28"/>
          <w:szCs w:val="28"/>
        </w:rPr>
        <w:t>316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E1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180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общее образование – </w:t>
      </w:r>
      <w:r w:rsidR="008D34CD">
        <w:rPr>
          <w:rFonts w:ascii="Times New Roman" w:eastAsia="Calibri" w:hAnsi="Times New Roman" w:cs="Times New Roman"/>
          <w:sz w:val="28"/>
          <w:szCs w:val="28"/>
        </w:rPr>
        <w:t>1 млрд. 117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653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На дополнительное образование – </w:t>
      </w:r>
      <w:r w:rsidR="008D34CD">
        <w:rPr>
          <w:rFonts w:ascii="Times New Roman" w:eastAsia="Calibri" w:hAnsi="Times New Roman" w:cs="Times New Roman"/>
          <w:sz w:val="28"/>
          <w:szCs w:val="28"/>
        </w:rPr>
        <w:t>105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901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отдых и оздоровление детей – </w:t>
      </w:r>
      <w:r w:rsidR="008D34CD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945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9231E" w:rsidRPr="005E6737" w:rsidRDefault="005474DF" w:rsidP="005E673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737">
        <w:rPr>
          <w:rFonts w:ascii="Times New Roman" w:eastAsia="Calibri" w:hAnsi="Times New Roman" w:cs="Times New Roman"/>
          <w:sz w:val="28"/>
          <w:szCs w:val="28"/>
        </w:rPr>
        <w:lastRenderedPageBreak/>
        <w:t>На фонд оплаты труда по разделу образования в 202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>4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898 млн. 792 тыс.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рублей (АППГ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830 млн. 673 тыс.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рублей, увеличение на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68</w:t>
      </w:r>
      <w:r w:rsidR="002056EB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119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рублей), в том числе по обще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е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е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04E" w:rsidRPr="005E6737">
        <w:rPr>
          <w:rFonts w:ascii="Times New Roman" w:eastAsia="Calibri" w:hAnsi="Times New Roman" w:cs="Times New Roman"/>
          <w:sz w:val="28"/>
          <w:szCs w:val="28"/>
        </w:rPr>
        <w:t>55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9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1504E" w:rsidRPr="005E6737">
        <w:rPr>
          <w:rFonts w:ascii="Times New Roman" w:eastAsia="Calibri" w:hAnsi="Times New Roman" w:cs="Times New Roman"/>
          <w:sz w:val="28"/>
          <w:szCs w:val="28"/>
        </w:rPr>
        <w:t>5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74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056EB" w:rsidRPr="005E67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 </w:t>
      </w:r>
      <w:r w:rsidR="00751A6A" w:rsidRPr="005E6737">
        <w:rPr>
          <w:rFonts w:ascii="Times New Roman" w:eastAsia="Calibri" w:hAnsi="Times New Roman" w:cs="Times New Roman"/>
          <w:sz w:val="28"/>
          <w:szCs w:val="28"/>
        </w:rPr>
        <w:t>2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90</w:t>
      </w:r>
      <w:r w:rsidR="00327DEF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 w:rsidRPr="005E6737">
        <w:rPr>
          <w:rFonts w:ascii="Times New Roman" w:eastAsia="Calibri" w:hAnsi="Times New Roman" w:cs="Times New Roman"/>
          <w:sz w:val="28"/>
          <w:szCs w:val="28"/>
        </w:rPr>
        <w:t>96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Pr="005E6737">
        <w:rPr>
          <w:rFonts w:ascii="Times New Roman" w:eastAsia="Calibri" w:hAnsi="Times New Roman" w:cs="Times New Roman"/>
          <w:sz w:val="28"/>
          <w:szCs w:val="28"/>
        </w:rPr>
        <w:t>допобразование</w:t>
      </w:r>
      <w:proofErr w:type="spellEnd"/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20</w:t>
      </w:r>
      <w:r w:rsidR="00327DEF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799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09231E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по образованию всего предусмотрено </w:t>
      </w:r>
      <w:r w:rsidR="005E6737" w:rsidRPr="0018167B">
        <w:rPr>
          <w:rFonts w:ascii="Times New Roman" w:eastAsia="Calibri" w:hAnsi="Times New Roman" w:cs="Times New Roman"/>
          <w:sz w:val="28"/>
          <w:szCs w:val="28"/>
        </w:rPr>
        <w:t>58</w:t>
      </w:r>
      <w:r w:rsidR="002056EB" w:rsidRPr="0018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67B">
        <w:rPr>
          <w:rFonts w:ascii="Times New Roman" w:eastAsia="Calibri" w:hAnsi="Times New Roman" w:cs="Times New Roman"/>
          <w:sz w:val="28"/>
          <w:szCs w:val="28"/>
        </w:rPr>
        <w:t>млн.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 xml:space="preserve"> 164</w:t>
      </w:r>
      <w:r w:rsidR="002056EB" w:rsidRPr="0018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тыс. рублей, АППГ </w:t>
      </w:r>
      <w:r w:rsidR="00751A6A" w:rsidRPr="0018167B">
        <w:rPr>
          <w:rFonts w:ascii="Times New Roman" w:eastAsia="Calibri" w:hAnsi="Times New Roman" w:cs="Times New Roman"/>
          <w:sz w:val="28"/>
          <w:szCs w:val="28"/>
        </w:rPr>
        <w:t>4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9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136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9</w:t>
      </w:r>
      <w:r w:rsidR="003572A3" w:rsidRPr="0018167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28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8167B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новая </w:t>
      </w:r>
      <w:r w:rsidR="00F24F87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proofErr w:type="spellStart"/>
      <w:r w:rsidR="00F24F87">
        <w:rPr>
          <w:rFonts w:ascii="Times New Roman" w:eastAsia="Calibri" w:hAnsi="Times New Roman" w:cs="Times New Roman"/>
          <w:sz w:val="28"/>
          <w:szCs w:val="28"/>
        </w:rPr>
        <w:t>Чааты</w:t>
      </w:r>
      <w:proofErr w:type="spellEnd"/>
      <w:r w:rsidR="00F24F87">
        <w:rPr>
          <w:rFonts w:ascii="Times New Roman" w:eastAsia="Calibri" w:hAnsi="Times New Roman" w:cs="Times New Roman"/>
          <w:sz w:val="28"/>
          <w:szCs w:val="28"/>
        </w:rPr>
        <w:t xml:space="preserve"> 4 млн. 867 тыс. рублей.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24F87" w:rsidRPr="00F24F87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На прочие расходы по образованию предусмотрено всего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23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70</w:t>
      </w:r>
      <w:r w:rsidR="003F5E8C"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, по ОО учреждениям 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>1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5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.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479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рублей, по ДОУ 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>4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719</w:t>
      </w:r>
      <w:r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 и доп. образованию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2 млн. 242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F8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82E">
        <w:rPr>
          <w:rFonts w:ascii="Times New Roman" w:eastAsia="Calibri" w:hAnsi="Times New Roman" w:cs="Times New Roman"/>
          <w:sz w:val="28"/>
          <w:szCs w:val="28"/>
        </w:rPr>
        <w:t>На развитие культуры и туризма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планируется направить </w:t>
      </w:r>
      <w:r w:rsidR="00190893">
        <w:rPr>
          <w:rFonts w:ascii="Times New Roman" w:eastAsia="Calibri" w:hAnsi="Times New Roman" w:cs="Times New Roman"/>
          <w:sz w:val="28"/>
          <w:szCs w:val="28"/>
        </w:rPr>
        <w:t>83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190893">
        <w:rPr>
          <w:rFonts w:ascii="Times New Roman" w:eastAsia="Calibri" w:hAnsi="Times New Roman" w:cs="Times New Roman"/>
          <w:sz w:val="28"/>
          <w:szCs w:val="28"/>
        </w:rPr>
        <w:t>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893">
        <w:rPr>
          <w:rFonts w:ascii="Times New Roman" w:eastAsia="Calibri" w:hAnsi="Times New Roman" w:cs="Times New Roman"/>
          <w:sz w:val="28"/>
          <w:szCs w:val="28"/>
        </w:rPr>
        <w:t>658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культура в 202</w:t>
      </w:r>
      <w:r w:rsidR="00B03DCA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61 млн. 361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рублей. АППГ 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65 </w:t>
      </w:r>
      <w:r w:rsidR="00B03DCA"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478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рублей, уменьшение на </w:t>
      </w:r>
      <w:r w:rsidR="00CB7C80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35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C80">
        <w:rPr>
          <w:rFonts w:ascii="Times New Roman" w:eastAsia="Calibri" w:hAnsi="Times New Roman" w:cs="Times New Roman"/>
          <w:sz w:val="28"/>
          <w:szCs w:val="28"/>
        </w:rPr>
        <w:t>117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 (</w:t>
      </w:r>
      <w:bookmarkStart w:id="2" w:name="_Hlk121997116"/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в связи с тем, что дотация </w:t>
      </w:r>
      <w:proofErr w:type="spellStart"/>
      <w:r w:rsidRPr="005474DF">
        <w:rPr>
          <w:rFonts w:ascii="Times New Roman" w:eastAsia="Calibri" w:hAnsi="Times New Roman" w:cs="Times New Roman"/>
          <w:i/>
          <w:sz w:val="28"/>
          <w:szCs w:val="28"/>
        </w:rPr>
        <w:t>недозаложена</w:t>
      </w:r>
      <w:proofErr w:type="spellEnd"/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, фонд предусмотрено </w:t>
      </w:r>
      <w:r w:rsidR="00FE2FE5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12476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месяцев 202</w:t>
      </w:r>
      <w:r w:rsidR="00E12476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года</w:t>
      </w:r>
      <w:bookmarkEnd w:id="2"/>
      <w:r w:rsidRPr="005474D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4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всего предусмотрено </w:t>
      </w:r>
      <w:r w:rsidR="00E12476">
        <w:rPr>
          <w:rFonts w:ascii="Times New Roman" w:eastAsia="Calibri" w:hAnsi="Times New Roman" w:cs="Times New Roman"/>
          <w:sz w:val="28"/>
          <w:szCs w:val="28"/>
        </w:rPr>
        <w:t>9 млн. 417 тыс. рублей,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АППГ </w:t>
      </w:r>
      <w:r w:rsidR="00E12476">
        <w:rPr>
          <w:rFonts w:ascii="Times New Roman" w:eastAsia="Calibri" w:hAnsi="Times New Roman" w:cs="Times New Roman"/>
          <w:sz w:val="28"/>
          <w:szCs w:val="28"/>
        </w:rPr>
        <w:t>8</w:t>
      </w:r>
      <w:r w:rsidR="00E12476" w:rsidRPr="00E12476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12476">
        <w:rPr>
          <w:rFonts w:ascii="Times New Roman" w:eastAsia="Calibri" w:hAnsi="Times New Roman" w:cs="Times New Roman"/>
          <w:sz w:val="28"/>
          <w:szCs w:val="28"/>
        </w:rPr>
        <w:t>604</w:t>
      </w:r>
      <w:r w:rsidR="00E12476" w:rsidRPr="00E1247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2476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12476">
        <w:rPr>
          <w:rFonts w:ascii="Times New Roman" w:eastAsia="Calibri" w:hAnsi="Times New Roman" w:cs="Times New Roman"/>
          <w:sz w:val="28"/>
          <w:szCs w:val="28"/>
        </w:rPr>
        <w:t>813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выплату государственных пособий и социальных мер поддержки направляется </w:t>
      </w:r>
      <w:r w:rsidR="0093282E">
        <w:rPr>
          <w:rFonts w:ascii="Times New Roman" w:eastAsia="Calibri" w:hAnsi="Times New Roman" w:cs="Times New Roman"/>
          <w:sz w:val="28"/>
          <w:szCs w:val="28"/>
        </w:rPr>
        <w:t>73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82E">
        <w:rPr>
          <w:rFonts w:ascii="Times New Roman" w:eastAsia="Calibri" w:hAnsi="Times New Roman" w:cs="Times New Roman"/>
          <w:sz w:val="28"/>
          <w:szCs w:val="28"/>
        </w:rPr>
        <w:t>318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0A579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физической культуры и спорта в бюджете закладываются средства на общую сумму </w:t>
      </w:r>
      <w:r w:rsidR="003572A3">
        <w:rPr>
          <w:rFonts w:ascii="Times New Roman" w:eastAsia="Calibri" w:hAnsi="Times New Roman" w:cs="Times New Roman"/>
          <w:sz w:val="28"/>
          <w:szCs w:val="28"/>
        </w:rPr>
        <w:t>1</w:t>
      </w:r>
      <w:r w:rsidR="000A5792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0A5792">
        <w:rPr>
          <w:rFonts w:ascii="Times New Roman" w:eastAsia="Calibri" w:hAnsi="Times New Roman" w:cs="Times New Roman"/>
          <w:sz w:val="28"/>
          <w:szCs w:val="28"/>
        </w:rPr>
        <w:t>174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A5792">
        <w:rPr>
          <w:rFonts w:ascii="Times New Roman" w:eastAsia="Calibri" w:hAnsi="Times New Roman" w:cs="Times New Roman"/>
          <w:sz w:val="28"/>
          <w:szCs w:val="28"/>
        </w:rPr>
        <w:t xml:space="preserve">, в том числе фонд оплаты труда и коммунальные услуги </w:t>
      </w:r>
      <w:r w:rsidRPr="005474DF">
        <w:rPr>
          <w:rFonts w:ascii="Times New Roman" w:eastAsia="Calibri" w:hAnsi="Times New Roman" w:cs="Times New Roman"/>
          <w:sz w:val="28"/>
          <w:szCs w:val="28"/>
        </w:rPr>
        <w:t>МАУ «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Эне-Сай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>»</w:t>
      </w:r>
      <w:r w:rsidR="00001D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16F" w:rsidRDefault="00B9316F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060D33">
        <w:rPr>
          <w:bCs w:val="0"/>
          <w:spacing w:val="0"/>
          <w:sz w:val="28"/>
          <w:szCs w:val="28"/>
          <w:lang w:eastAsia="ru-RU"/>
        </w:rPr>
        <w:t>Средства массовой информации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расходы на содержание Редакции газеты «</w:t>
      </w:r>
      <w:proofErr w:type="spellStart"/>
      <w:r>
        <w:rPr>
          <w:b w:val="0"/>
          <w:bCs w:val="0"/>
          <w:spacing w:val="0"/>
          <w:sz w:val="28"/>
          <w:szCs w:val="28"/>
          <w:lang w:eastAsia="ru-RU"/>
        </w:rPr>
        <w:t>Улуг-Хем</w:t>
      </w:r>
      <w:proofErr w:type="spellEnd"/>
      <w:r>
        <w:rPr>
          <w:b w:val="0"/>
          <w:bCs w:val="0"/>
          <w:spacing w:val="0"/>
          <w:sz w:val="28"/>
          <w:szCs w:val="28"/>
          <w:lang w:eastAsia="ru-RU"/>
        </w:rPr>
        <w:t xml:space="preserve">»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1 млн.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574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рублей,</w:t>
      </w:r>
      <w:r w:rsidRPr="00520371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>по сравнению с 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годом (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425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. рублей)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увеличение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149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рублей;</w:t>
      </w:r>
    </w:p>
    <w:p w:rsidR="005474DF" w:rsidRDefault="005474DF" w:rsidP="005474D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Также в кожуунно</w:t>
      </w:r>
      <w:r w:rsidR="000660AE">
        <w:rPr>
          <w:rFonts w:ascii="Times New Roman" w:eastAsia="Calibri" w:hAnsi="Times New Roman" w:cs="Times New Roman"/>
          <w:sz w:val="28"/>
          <w:szCs w:val="28"/>
        </w:rPr>
        <w:t>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660AE">
        <w:rPr>
          <w:rFonts w:ascii="Times New Roman" w:eastAsia="Calibri" w:hAnsi="Times New Roman" w:cs="Times New Roman"/>
          <w:sz w:val="28"/>
          <w:szCs w:val="28"/>
        </w:rPr>
        <w:t>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«Улуг-Хемский кожуун Республики Тыва» на 202</w:t>
      </w:r>
      <w:r w:rsidR="000A5792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A5792">
        <w:rPr>
          <w:rFonts w:ascii="Times New Roman" w:eastAsia="Calibri" w:hAnsi="Times New Roman" w:cs="Times New Roman"/>
          <w:sz w:val="28"/>
          <w:szCs w:val="28"/>
        </w:rPr>
        <w:t>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A5792">
        <w:rPr>
          <w:rFonts w:ascii="Times New Roman" w:eastAsia="Calibri" w:hAnsi="Times New Roman" w:cs="Times New Roman"/>
          <w:sz w:val="28"/>
          <w:szCs w:val="28"/>
        </w:rPr>
        <w:t>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следующие федеральные субсидии:</w:t>
      </w:r>
    </w:p>
    <w:p w:rsidR="001E34B5" w:rsidRDefault="001E34B5" w:rsidP="001E34B5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35317" w:rsidRPr="00435317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современной городской среды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317"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 финансирование из местного бюджета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млн 021 тыс. рублей, </w:t>
      </w:r>
      <w:r w:rsidR="000A5792"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 из местного бюджета 120,0 тыс. рублей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 021 тыс. рублей, со финансирование из местного бюджета 120,0 тыс. рублей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B5" w:rsidRDefault="001E34B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 по обеспечению жильем молодых семей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9316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финансирование из местного бюджета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финансирование из местного бюджета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317" w:rsidRDefault="00435317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Субсидии </w:t>
      </w:r>
      <w:r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ремонт и ремонт автомобильных дорог общего пользования населенных пунктов за счет средств Дорожного фонда 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со финансирование из местного бюджета 511 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792" w:rsidRDefault="000A5792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млн. 615 тыс. рублей,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 3 млн. рублей;</w:t>
      </w:r>
    </w:p>
    <w:p w:rsidR="00C76FE5" w:rsidRDefault="00C76FE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подготовку проектов межевания земельных участков и на проведение кадастровых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5 млн. 79 тыс. рублей.</w:t>
      </w:r>
    </w:p>
    <w:p w:rsidR="00C76FE5" w:rsidRDefault="00C76FE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современный облик сельских территорий в рамках реализации государственной программы "Комплексное развитие сельских территорий"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647 млн. 44 тыс. рублей.</w:t>
      </w:r>
    </w:p>
    <w:p w:rsidR="006E4EE9" w:rsidRPr="00A21342" w:rsidRDefault="000132E1" w:rsidP="000132E1">
      <w:pPr>
        <w:ind w:firstLine="360"/>
        <w:jc w:val="both"/>
        <w:rPr>
          <w:b/>
          <w:bCs/>
          <w:sz w:val="28"/>
          <w:szCs w:val="28"/>
          <w:lang w:eastAsia="ru-RU"/>
        </w:rPr>
      </w:pPr>
      <w:r w:rsidRPr="0001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млн. 184 тыс. 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по сравнению с 202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</w:t>
      </w:r>
      <w:r w:rsidR="00C76FE5"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млн. 001 тыс. 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увеличение на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3" w:name="_Hlk150871073"/>
      <w:r w:rsidR="001E34B5" w:rsidRPr="00A21342">
        <w:rPr>
          <w:b/>
          <w:bCs/>
          <w:sz w:val="28"/>
          <w:szCs w:val="28"/>
          <w:lang w:eastAsia="ru-RU"/>
        </w:rPr>
        <w:t xml:space="preserve"> </w:t>
      </w:r>
    </w:p>
    <w:bookmarkEnd w:id="3"/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A21342">
        <w:rPr>
          <w:b w:val="0"/>
          <w:bCs w:val="0"/>
          <w:spacing w:val="0"/>
          <w:sz w:val="28"/>
          <w:szCs w:val="28"/>
          <w:lang w:eastAsia="ru-RU"/>
        </w:rPr>
        <w:t>Заработная плата в 202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году по поселениям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и городу Шагонар 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всего предусмотрено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65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A21342" w:rsidRPr="00A21342">
        <w:rPr>
          <w:b w:val="0"/>
          <w:bCs w:val="0"/>
          <w:spacing w:val="0"/>
          <w:sz w:val="28"/>
          <w:szCs w:val="28"/>
          <w:lang w:eastAsia="ru-RU"/>
        </w:rPr>
        <w:t xml:space="preserve">414 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тыс. рублей, в том числе из собственных доходов поселений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и города Шагонар 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9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992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за счет межбюджетных трансфертов из кожуунного бюджета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45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039</w:t>
      </w:r>
      <w:r w:rsidR="001E34B5" w:rsidRPr="0076059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60593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>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F1A45">
        <w:rPr>
          <w:b w:val="0"/>
          <w:bCs w:val="0"/>
          <w:spacing w:val="0"/>
          <w:sz w:val="28"/>
          <w:szCs w:val="28"/>
          <w:lang w:eastAsia="ru-RU"/>
        </w:rPr>
        <w:t>Коммунальные расходы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,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C76FE5" w:rsidRPr="007F1A45">
        <w:rPr>
          <w:b w:val="0"/>
          <w:bCs w:val="0"/>
          <w:spacing w:val="0"/>
          <w:sz w:val="28"/>
          <w:szCs w:val="28"/>
          <w:lang w:eastAsia="ru-RU"/>
        </w:rPr>
        <w:t xml:space="preserve">в том числе приобретение и доставка угля 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сельских поселений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 и города Шагонар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предусмотрено всего 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164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ab/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Бюджет на 202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год сформирован в формате «программного бюджета», в котором предусмотрены средства на реализацию </w:t>
      </w:r>
      <w:r w:rsidR="000132E1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муниципальных программ на общую </w:t>
      </w:r>
      <w:r w:rsidR="005474DF" w:rsidRPr="007F1A45">
        <w:rPr>
          <w:b w:val="0"/>
          <w:bCs w:val="0"/>
          <w:spacing w:val="0"/>
          <w:sz w:val="28"/>
          <w:szCs w:val="28"/>
          <w:lang w:eastAsia="ru-RU"/>
        </w:rPr>
        <w:t xml:space="preserve">сумму </w:t>
      </w:r>
      <w:r w:rsidR="00FB3260" w:rsidRPr="00FB3260">
        <w:rPr>
          <w:b w:val="0"/>
          <w:sz w:val="28"/>
          <w:szCs w:val="28"/>
        </w:rPr>
        <w:t>1477309,264</w:t>
      </w:r>
      <w:r w:rsidRPr="000132E1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973"/>
        <w:gridCol w:w="1701"/>
      </w:tblGrid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73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программа "Социальная поддержка граждан Улуг-Хемского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64 128,3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1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101 366,1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программа "Создание условий для устойчивого экономического развития"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E739E6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972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AE2" w:rsidRPr="00001AE2" w:rsidTr="000132E1">
        <w:trPr>
          <w:trHeight w:val="46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990 195,6</w:t>
            </w:r>
          </w:p>
        </w:tc>
      </w:tr>
      <w:tr w:rsidR="00001AE2" w:rsidRPr="00001AE2" w:rsidTr="008C24DA">
        <w:trPr>
          <w:trHeight w:val="47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программа "Создание условий для социального развития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4 461,7</w:t>
            </w:r>
          </w:p>
        </w:tc>
      </w:tr>
      <w:tr w:rsidR="00001AE2" w:rsidRPr="00001AE2" w:rsidTr="000132E1">
        <w:trPr>
          <w:trHeight w:val="77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программа "Развитие сельского хозяйства и регулирования рынков сельскохозяйственной продукции, сырья и продовольствия в Улуг-Хемском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кожууне"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001AE2" w:rsidRPr="00001AE2" w:rsidTr="008C24DA">
        <w:trPr>
          <w:trHeight w:val="42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8C24DA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преступлений и иных правонарушений в Улуг-Хемском кожууне Республики Тыва"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3 097,3</w:t>
            </w:r>
          </w:p>
        </w:tc>
      </w:tr>
      <w:tr w:rsidR="00001AE2" w:rsidRPr="00001AE2" w:rsidTr="000132E1">
        <w:trPr>
          <w:trHeight w:val="84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A5080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</w:t>
            </w:r>
            <w:r w:rsidR="0097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AE2" w:rsidRPr="00001AE2" w:rsidTr="000132E1">
        <w:trPr>
          <w:trHeight w:val="6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23 058,0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656 123,4</w:t>
            </w:r>
          </w:p>
        </w:tc>
      </w:tr>
      <w:tr w:rsidR="00001AE2" w:rsidRPr="00001AE2" w:rsidTr="00760593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или улучшение жилищных условий</w:t>
            </w:r>
            <w:r w:rsidR="008C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молодых семей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9 524,3</w:t>
            </w:r>
          </w:p>
        </w:tc>
      </w:tr>
      <w:tr w:rsidR="00001AE2" w:rsidRPr="00001AE2" w:rsidTr="00972A04">
        <w:trPr>
          <w:trHeight w:val="7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972A04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6 977,5</w:t>
            </w:r>
          </w:p>
        </w:tc>
      </w:tr>
      <w:tr w:rsidR="00972A04" w:rsidRPr="00001AE2" w:rsidTr="00972A04">
        <w:trPr>
          <w:trHeight w:val="788"/>
        </w:trPr>
        <w:tc>
          <w:tcPr>
            <w:tcW w:w="960" w:type="dxa"/>
            <w:shd w:val="clear" w:color="auto" w:fill="auto"/>
            <w:noWrap/>
            <w:vAlign w:val="bottom"/>
          </w:tcPr>
          <w:p w:rsidR="00972A04" w:rsidRPr="00001AE2" w:rsidRDefault="00972A04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972A04" w:rsidRPr="00972A04" w:rsidRDefault="00972A04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972A04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001AE2" w:rsidRPr="00001AE2" w:rsidTr="000132E1">
        <w:trPr>
          <w:trHeight w:val="52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760593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5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972A04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76 756,3</w:t>
            </w:r>
          </w:p>
        </w:tc>
      </w:tr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972A04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1 941 791,6</w:t>
            </w:r>
          </w:p>
        </w:tc>
      </w:tr>
    </w:tbl>
    <w:p w:rsidR="006E4EE9" w:rsidRPr="005A0054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  <w:r w:rsidRPr="00B836AE">
        <w:rPr>
          <w:rStyle w:val="af0"/>
          <w:color w:val="000000"/>
        </w:rPr>
        <w:t xml:space="preserve">Таким образом, расходы на реализацию муниципальных программ в </w:t>
      </w:r>
      <w:r>
        <w:rPr>
          <w:rStyle w:val="af0"/>
          <w:color w:val="000000"/>
        </w:rPr>
        <w:t>202</w:t>
      </w:r>
      <w:r w:rsidR="00972A04">
        <w:rPr>
          <w:rStyle w:val="af0"/>
          <w:color w:val="000000"/>
        </w:rPr>
        <w:t>5</w:t>
      </w:r>
      <w:r>
        <w:rPr>
          <w:rStyle w:val="af0"/>
          <w:color w:val="000000"/>
        </w:rPr>
        <w:t xml:space="preserve"> </w:t>
      </w:r>
      <w:r w:rsidRPr="00B836AE">
        <w:rPr>
          <w:rStyle w:val="af0"/>
          <w:color w:val="000000"/>
        </w:rPr>
        <w:t xml:space="preserve">году </w:t>
      </w:r>
      <w:r w:rsidR="001A5080">
        <w:rPr>
          <w:rStyle w:val="af0"/>
          <w:color w:val="000000"/>
        </w:rPr>
        <w:t>9</w:t>
      </w:r>
      <w:r w:rsidR="00972A04">
        <w:rPr>
          <w:rStyle w:val="af0"/>
          <w:color w:val="000000"/>
        </w:rPr>
        <w:t>1</w:t>
      </w:r>
      <w:r w:rsidRPr="00B836AE">
        <w:rPr>
          <w:rStyle w:val="af0"/>
          <w:color w:val="000000"/>
        </w:rPr>
        <w:t xml:space="preserve">% от общего объема расходов </w:t>
      </w:r>
      <w:r>
        <w:rPr>
          <w:rStyle w:val="af0"/>
          <w:color w:val="000000"/>
        </w:rPr>
        <w:t xml:space="preserve">кожуунного </w:t>
      </w:r>
      <w:r w:rsidRPr="00B836AE">
        <w:rPr>
          <w:rStyle w:val="af0"/>
          <w:color w:val="000000"/>
        </w:rPr>
        <w:t>бюджета.</w:t>
      </w: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</w:p>
    <w:p w:rsidR="00CC665C" w:rsidRPr="00F35C52" w:rsidRDefault="00CC665C" w:rsidP="006E4E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CC665C" w:rsidRPr="00F35C52" w:rsidSect="005474DF"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CE" w:rsidRDefault="00C614CE" w:rsidP="009C05A6">
      <w:pPr>
        <w:spacing w:after="0" w:line="240" w:lineRule="auto"/>
      </w:pPr>
      <w:r>
        <w:separator/>
      </w:r>
    </w:p>
  </w:endnote>
  <w:endnote w:type="continuationSeparator" w:id="0">
    <w:p w:rsidR="00C614CE" w:rsidRDefault="00C614CE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CE" w:rsidRDefault="00C614CE" w:rsidP="009C05A6">
      <w:pPr>
        <w:spacing w:after="0" w:line="240" w:lineRule="auto"/>
      </w:pPr>
      <w:r>
        <w:separator/>
      </w:r>
    </w:p>
  </w:footnote>
  <w:footnote w:type="continuationSeparator" w:id="0">
    <w:p w:rsidR="00C614CE" w:rsidRDefault="00C614CE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543718"/>
    <w:multiLevelType w:val="hybridMultilevel"/>
    <w:tmpl w:val="DB224AAC"/>
    <w:lvl w:ilvl="0" w:tplc="125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F7120"/>
    <w:multiLevelType w:val="multilevel"/>
    <w:tmpl w:val="69102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0D63D60"/>
    <w:multiLevelType w:val="hybridMultilevel"/>
    <w:tmpl w:val="99A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CCA"/>
    <w:multiLevelType w:val="hybridMultilevel"/>
    <w:tmpl w:val="385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B554C"/>
    <w:multiLevelType w:val="hybridMultilevel"/>
    <w:tmpl w:val="C90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1844"/>
    <w:multiLevelType w:val="hybridMultilevel"/>
    <w:tmpl w:val="2B20BE1A"/>
    <w:lvl w:ilvl="0" w:tplc="A24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246"/>
    <w:multiLevelType w:val="multilevel"/>
    <w:tmpl w:val="F7565E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00C3444"/>
    <w:multiLevelType w:val="hybridMultilevel"/>
    <w:tmpl w:val="656A08C2"/>
    <w:lvl w:ilvl="0" w:tplc="E5429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8D14B5"/>
    <w:multiLevelType w:val="hybridMultilevel"/>
    <w:tmpl w:val="8CFC323E"/>
    <w:lvl w:ilvl="0" w:tplc="F038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D5E6B"/>
    <w:multiLevelType w:val="hybridMultilevel"/>
    <w:tmpl w:val="69041EDC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A12E6F"/>
    <w:multiLevelType w:val="multilevel"/>
    <w:tmpl w:val="E49A8C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287314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2B13221F"/>
    <w:multiLevelType w:val="hybridMultilevel"/>
    <w:tmpl w:val="91EA4874"/>
    <w:lvl w:ilvl="0" w:tplc="9308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5227F"/>
    <w:multiLevelType w:val="multilevel"/>
    <w:tmpl w:val="1C88024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975951"/>
    <w:multiLevelType w:val="hybridMultilevel"/>
    <w:tmpl w:val="84E826B4"/>
    <w:lvl w:ilvl="0" w:tplc="80247554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1" w15:restartNumberingAfterBreak="0">
    <w:nsid w:val="343C16D7"/>
    <w:multiLevelType w:val="multilevel"/>
    <w:tmpl w:val="8854A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254770"/>
    <w:multiLevelType w:val="multilevel"/>
    <w:tmpl w:val="A3568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0CA3DB4"/>
    <w:multiLevelType w:val="hybridMultilevel"/>
    <w:tmpl w:val="1302B5F4"/>
    <w:lvl w:ilvl="0" w:tplc="A10E040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0" w15:restartNumberingAfterBreak="0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96C093D"/>
    <w:multiLevelType w:val="multilevel"/>
    <w:tmpl w:val="470C0790"/>
    <w:lvl w:ilvl="0">
      <w:numFmt w:val="decimal"/>
      <w:lvlText w:val="7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FF112B"/>
    <w:multiLevelType w:val="multilevel"/>
    <w:tmpl w:val="B9D83EA2"/>
    <w:lvl w:ilvl="0">
      <w:numFmt w:val="decimal"/>
      <w:lvlText w:val="59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EB6695C"/>
    <w:multiLevelType w:val="hybridMultilevel"/>
    <w:tmpl w:val="26EC84B6"/>
    <w:lvl w:ilvl="0" w:tplc="D3CE0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11E300B"/>
    <w:multiLevelType w:val="hybridMultilevel"/>
    <w:tmpl w:val="B8D67B3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2A41C22"/>
    <w:multiLevelType w:val="multilevel"/>
    <w:tmpl w:val="0B2CF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FC3D10"/>
    <w:multiLevelType w:val="hybridMultilevel"/>
    <w:tmpl w:val="C41A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62EF354E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0" w15:restartNumberingAfterBreak="0">
    <w:nsid w:val="65745674"/>
    <w:multiLevelType w:val="hybridMultilevel"/>
    <w:tmpl w:val="AC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497A"/>
    <w:multiLevelType w:val="hybridMultilevel"/>
    <w:tmpl w:val="120CDA4C"/>
    <w:lvl w:ilvl="0" w:tplc="4F9EBF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6E075726"/>
    <w:multiLevelType w:val="hybridMultilevel"/>
    <w:tmpl w:val="8FC61CDE"/>
    <w:lvl w:ilvl="0" w:tplc="17F6C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1C45"/>
    <w:multiLevelType w:val="hybridMultilevel"/>
    <w:tmpl w:val="E20C7380"/>
    <w:lvl w:ilvl="0" w:tplc="25B87E1E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6" w15:restartNumberingAfterBreak="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BDF6891"/>
    <w:multiLevelType w:val="multilevel"/>
    <w:tmpl w:val="0616D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F996B17"/>
    <w:multiLevelType w:val="hybridMultilevel"/>
    <w:tmpl w:val="8E247318"/>
    <w:lvl w:ilvl="0" w:tplc="0354F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42"/>
  </w:num>
  <w:num w:numId="4">
    <w:abstractNumId w:val="25"/>
  </w:num>
  <w:num w:numId="5">
    <w:abstractNumId w:val="6"/>
  </w:num>
  <w:num w:numId="6">
    <w:abstractNumId w:val="26"/>
  </w:num>
  <w:num w:numId="7">
    <w:abstractNumId w:val="10"/>
  </w:num>
  <w:num w:numId="8">
    <w:abstractNumId w:val="19"/>
  </w:num>
  <w:num w:numId="9">
    <w:abstractNumId w:val="44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38"/>
  </w:num>
  <w:num w:numId="15">
    <w:abstractNumId w:val="12"/>
  </w:num>
  <w:num w:numId="16">
    <w:abstractNumId w:val="24"/>
  </w:num>
  <w:num w:numId="17">
    <w:abstractNumId w:val="43"/>
  </w:num>
  <w:num w:numId="18">
    <w:abstractNumId w:val="4"/>
  </w:num>
  <w:num w:numId="19">
    <w:abstractNumId w:val="5"/>
  </w:num>
  <w:num w:numId="20">
    <w:abstractNumId w:val="8"/>
  </w:num>
  <w:num w:numId="21">
    <w:abstractNumId w:val="40"/>
  </w:num>
  <w:num w:numId="22">
    <w:abstractNumId w:val="2"/>
  </w:num>
  <w:num w:numId="23">
    <w:abstractNumId w:val="48"/>
  </w:num>
  <w:num w:numId="24">
    <w:abstractNumId w:val="13"/>
  </w:num>
  <w:num w:numId="25">
    <w:abstractNumId w:val="9"/>
  </w:num>
  <w:num w:numId="26">
    <w:abstractNumId w:val="14"/>
  </w:num>
  <w:num w:numId="27">
    <w:abstractNumId w:val="29"/>
  </w:num>
  <w:num w:numId="28">
    <w:abstractNumId w:val="27"/>
  </w:num>
  <w:num w:numId="29">
    <w:abstractNumId w:val="21"/>
  </w:num>
  <w:num w:numId="30">
    <w:abstractNumId w:val="36"/>
  </w:num>
  <w:num w:numId="31">
    <w:abstractNumId w:val="15"/>
  </w:num>
  <w:num w:numId="32">
    <w:abstractNumId w:val="34"/>
  </w:num>
  <w:num w:numId="33">
    <w:abstractNumId w:val="17"/>
  </w:num>
  <w:num w:numId="34">
    <w:abstractNumId w:val="3"/>
  </w:num>
  <w:num w:numId="35">
    <w:abstractNumId w:val="0"/>
  </w:num>
  <w:num w:numId="36">
    <w:abstractNumId w:val="1"/>
  </w:num>
  <w:num w:numId="37">
    <w:abstractNumId w:val="45"/>
  </w:num>
  <w:num w:numId="38">
    <w:abstractNumId w:val="20"/>
  </w:num>
  <w:num w:numId="39">
    <w:abstractNumId w:val="16"/>
  </w:num>
  <w:num w:numId="40">
    <w:abstractNumId w:val="47"/>
  </w:num>
  <w:num w:numId="41">
    <w:abstractNumId w:val="11"/>
  </w:num>
  <w:num w:numId="42">
    <w:abstractNumId w:val="39"/>
  </w:num>
  <w:num w:numId="43">
    <w:abstractNumId w:val="32"/>
  </w:num>
  <w:num w:numId="44">
    <w:abstractNumId w:val="18"/>
  </w:num>
  <w:num w:numId="45">
    <w:abstractNumId w:val="31"/>
  </w:num>
  <w:num w:numId="46">
    <w:abstractNumId w:val="28"/>
  </w:num>
  <w:num w:numId="47">
    <w:abstractNumId w:val="3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EC"/>
    <w:rsid w:val="000005F3"/>
    <w:rsid w:val="00001AE2"/>
    <w:rsid w:val="00001D7B"/>
    <w:rsid w:val="00006CA9"/>
    <w:rsid w:val="000132E1"/>
    <w:rsid w:val="00014B13"/>
    <w:rsid w:val="0001514D"/>
    <w:rsid w:val="0001703B"/>
    <w:rsid w:val="0002455E"/>
    <w:rsid w:val="00027B3D"/>
    <w:rsid w:val="00046D38"/>
    <w:rsid w:val="000528C2"/>
    <w:rsid w:val="00053450"/>
    <w:rsid w:val="00056823"/>
    <w:rsid w:val="00056FBE"/>
    <w:rsid w:val="00057365"/>
    <w:rsid w:val="000660AE"/>
    <w:rsid w:val="000726C1"/>
    <w:rsid w:val="00072B11"/>
    <w:rsid w:val="00074F69"/>
    <w:rsid w:val="00080816"/>
    <w:rsid w:val="00081EF1"/>
    <w:rsid w:val="00083409"/>
    <w:rsid w:val="00084D6D"/>
    <w:rsid w:val="00085063"/>
    <w:rsid w:val="00090CA2"/>
    <w:rsid w:val="0009218F"/>
    <w:rsid w:val="0009231E"/>
    <w:rsid w:val="000A50C9"/>
    <w:rsid w:val="000A5792"/>
    <w:rsid w:val="000B471C"/>
    <w:rsid w:val="000B6548"/>
    <w:rsid w:val="000B69B5"/>
    <w:rsid w:val="000B6E54"/>
    <w:rsid w:val="000C0730"/>
    <w:rsid w:val="000C64F1"/>
    <w:rsid w:val="000C656A"/>
    <w:rsid w:val="000C72DE"/>
    <w:rsid w:val="000D0EC2"/>
    <w:rsid w:val="000D4332"/>
    <w:rsid w:val="000D44EE"/>
    <w:rsid w:val="000D6DDF"/>
    <w:rsid w:val="000E19BF"/>
    <w:rsid w:val="000E63E0"/>
    <w:rsid w:val="000E6A51"/>
    <w:rsid w:val="000E7683"/>
    <w:rsid w:val="000F4728"/>
    <w:rsid w:val="000F4B48"/>
    <w:rsid w:val="00100F84"/>
    <w:rsid w:val="001028DE"/>
    <w:rsid w:val="00111669"/>
    <w:rsid w:val="0012003A"/>
    <w:rsid w:val="001231AF"/>
    <w:rsid w:val="00124CD4"/>
    <w:rsid w:val="00125149"/>
    <w:rsid w:val="00125932"/>
    <w:rsid w:val="00125C84"/>
    <w:rsid w:val="00126B3B"/>
    <w:rsid w:val="001308E0"/>
    <w:rsid w:val="001315AD"/>
    <w:rsid w:val="00137D88"/>
    <w:rsid w:val="001429B0"/>
    <w:rsid w:val="001448D5"/>
    <w:rsid w:val="001478FC"/>
    <w:rsid w:val="001520AC"/>
    <w:rsid w:val="00157A21"/>
    <w:rsid w:val="00174097"/>
    <w:rsid w:val="00176D19"/>
    <w:rsid w:val="0018167B"/>
    <w:rsid w:val="001878B8"/>
    <w:rsid w:val="00190893"/>
    <w:rsid w:val="001926C1"/>
    <w:rsid w:val="001A174E"/>
    <w:rsid w:val="001A3DF9"/>
    <w:rsid w:val="001A5080"/>
    <w:rsid w:val="001A5BE6"/>
    <w:rsid w:val="001C0A28"/>
    <w:rsid w:val="001C7978"/>
    <w:rsid w:val="001D32FA"/>
    <w:rsid w:val="001D7353"/>
    <w:rsid w:val="001E0461"/>
    <w:rsid w:val="001E23A4"/>
    <w:rsid w:val="001E34B5"/>
    <w:rsid w:val="001E4627"/>
    <w:rsid w:val="001E4846"/>
    <w:rsid w:val="001E5383"/>
    <w:rsid w:val="001E7E22"/>
    <w:rsid w:val="001F00E5"/>
    <w:rsid w:val="001F0837"/>
    <w:rsid w:val="002056EB"/>
    <w:rsid w:val="002242B9"/>
    <w:rsid w:val="0022472A"/>
    <w:rsid w:val="002257B0"/>
    <w:rsid w:val="0023233E"/>
    <w:rsid w:val="00244A29"/>
    <w:rsid w:val="0024514C"/>
    <w:rsid w:val="0024608B"/>
    <w:rsid w:val="00246286"/>
    <w:rsid w:val="00246C10"/>
    <w:rsid w:val="00251564"/>
    <w:rsid w:val="00254A6E"/>
    <w:rsid w:val="0026047B"/>
    <w:rsid w:val="00262419"/>
    <w:rsid w:val="0026430A"/>
    <w:rsid w:val="00271A8C"/>
    <w:rsid w:val="00276D7A"/>
    <w:rsid w:val="00277A68"/>
    <w:rsid w:val="0028073D"/>
    <w:rsid w:val="0028207E"/>
    <w:rsid w:val="0028253B"/>
    <w:rsid w:val="0028291F"/>
    <w:rsid w:val="00286972"/>
    <w:rsid w:val="00291810"/>
    <w:rsid w:val="00291FB1"/>
    <w:rsid w:val="00292641"/>
    <w:rsid w:val="00295C09"/>
    <w:rsid w:val="002967F0"/>
    <w:rsid w:val="002A2DA8"/>
    <w:rsid w:val="002A4A20"/>
    <w:rsid w:val="002A5C20"/>
    <w:rsid w:val="002B0064"/>
    <w:rsid w:val="002B0683"/>
    <w:rsid w:val="002B32B6"/>
    <w:rsid w:val="002B7999"/>
    <w:rsid w:val="002B7A7E"/>
    <w:rsid w:val="002C178B"/>
    <w:rsid w:val="002C5107"/>
    <w:rsid w:val="002C6056"/>
    <w:rsid w:val="002D1F02"/>
    <w:rsid w:val="002D1F2F"/>
    <w:rsid w:val="002E5134"/>
    <w:rsid w:val="002E64F9"/>
    <w:rsid w:val="002E6966"/>
    <w:rsid w:val="002E6D51"/>
    <w:rsid w:val="002E6D64"/>
    <w:rsid w:val="002E75E8"/>
    <w:rsid w:val="002F1ECA"/>
    <w:rsid w:val="002F5370"/>
    <w:rsid w:val="003006A4"/>
    <w:rsid w:val="00303D67"/>
    <w:rsid w:val="0031004C"/>
    <w:rsid w:val="003113C6"/>
    <w:rsid w:val="00327DEF"/>
    <w:rsid w:val="003330A8"/>
    <w:rsid w:val="003336BA"/>
    <w:rsid w:val="0033498B"/>
    <w:rsid w:val="00335089"/>
    <w:rsid w:val="00335688"/>
    <w:rsid w:val="00337603"/>
    <w:rsid w:val="003458A7"/>
    <w:rsid w:val="00345C0F"/>
    <w:rsid w:val="00351357"/>
    <w:rsid w:val="00352548"/>
    <w:rsid w:val="003528BA"/>
    <w:rsid w:val="00356729"/>
    <w:rsid w:val="003572A3"/>
    <w:rsid w:val="00357D8B"/>
    <w:rsid w:val="00362274"/>
    <w:rsid w:val="00363A4E"/>
    <w:rsid w:val="00367D49"/>
    <w:rsid w:val="0037432F"/>
    <w:rsid w:val="003830DA"/>
    <w:rsid w:val="00385DC5"/>
    <w:rsid w:val="00391FEF"/>
    <w:rsid w:val="003947EC"/>
    <w:rsid w:val="003961E8"/>
    <w:rsid w:val="00396567"/>
    <w:rsid w:val="00396B6F"/>
    <w:rsid w:val="003A0A17"/>
    <w:rsid w:val="003A2BEF"/>
    <w:rsid w:val="003A2FA1"/>
    <w:rsid w:val="003A52C5"/>
    <w:rsid w:val="003A555C"/>
    <w:rsid w:val="003A6D1D"/>
    <w:rsid w:val="003B1C9F"/>
    <w:rsid w:val="003B5B49"/>
    <w:rsid w:val="003C7950"/>
    <w:rsid w:val="003D7BA2"/>
    <w:rsid w:val="003F0244"/>
    <w:rsid w:val="003F0853"/>
    <w:rsid w:val="003F5E8C"/>
    <w:rsid w:val="004043D0"/>
    <w:rsid w:val="00406109"/>
    <w:rsid w:val="004077D3"/>
    <w:rsid w:val="0041326A"/>
    <w:rsid w:val="004176BA"/>
    <w:rsid w:val="004177BC"/>
    <w:rsid w:val="00421BB3"/>
    <w:rsid w:val="00421E5E"/>
    <w:rsid w:val="00423964"/>
    <w:rsid w:val="0042522D"/>
    <w:rsid w:val="00426EFC"/>
    <w:rsid w:val="004276C1"/>
    <w:rsid w:val="004305A0"/>
    <w:rsid w:val="00435317"/>
    <w:rsid w:val="00444E60"/>
    <w:rsid w:val="00446877"/>
    <w:rsid w:val="00447436"/>
    <w:rsid w:val="00447AA3"/>
    <w:rsid w:val="00460CE4"/>
    <w:rsid w:val="004620CC"/>
    <w:rsid w:val="00466CEA"/>
    <w:rsid w:val="00470BED"/>
    <w:rsid w:val="0047351A"/>
    <w:rsid w:val="00480DEC"/>
    <w:rsid w:val="00484B75"/>
    <w:rsid w:val="00484E94"/>
    <w:rsid w:val="00496159"/>
    <w:rsid w:val="004A05EE"/>
    <w:rsid w:val="004A452D"/>
    <w:rsid w:val="004A58CD"/>
    <w:rsid w:val="004A6078"/>
    <w:rsid w:val="004B1E0C"/>
    <w:rsid w:val="004B27E2"/>
    <w:rsid w:val="004B6C99"/>
    <w:rsid w:val="004C2E8C"/>
    <w:rsid w:val="004C3268"/>
    <w:rsid w:val="004C3EA9"/>
    <w:rsid w:val="004C608A"/>
    <w:rsid w:val="004D0B8C"/>
    <w:rsid w:val="004D78E6"/>
    <w:rsid w:val="004E4F7D"/>
    <w:rsid w:val="004F35B2"/>
    <w:rsid w:val="004F40E7"/>
    <w:rsid w:val="004F5B08"/>
    <w:rsid w:val="004F6BBC"/>
    <w:rsid w:val="00500A74"/>
    <w:rsid w:val="005030FE"/>
    <w:rsid w:val="005053D1"/>
    <w:rsid w:val="00510C13"/>
    <w:rsid w:val="0051485E"/>
    <w:rsid w:val="00520A8F"/>
    <w:rsid w:val="005269BC"/>
    <w:rsid w:val="005324A0"/>
    <w:rsid w:val="00540187"/>
    <w:rsid w:val="00541E28"/>
    <w:rsid w:val="005474DF"/>
    <w:rsid w:val="00550303"/>
    <w:rsid w:val="00550A7C"/>
    <w:rsid w:val="00556A61"/>
    <w:rsid w:val="00560D83"/>
    <w:rsid w:val="00574275"/>
    <w:rsid w:val="005776A3"/>
    <w:rsid w:val="00577713"/>
    <w:rsid w:val="00581654"/>
    <w:rsid w:val="005907B9"/>
    <w:rsid w:val="00591B23"/>
    <w:rsid w:val="0059556F"/>
    <w:rsid w:val="005A0B47"/>
    <w:rsid w:val="005A2BBF"/>
    <w:rsid w:val="005A56A6"/>
    <w:rsid w:val="005B0B4A"/>
    <w:rsid w:val="005B14BA"/>
    <w:rsid w:val="005B51E4"/>
    <w:rsid w:val="005C3589"/>
    <w:rsid w:val="005C52CB"/>
    <w:rsid w:val="005C75C0"/>
    <w:rsid w:val="005C7F34"/>
    <w:rsid w:val="005D0562"/>
    <w:rsid w:val="005D2FC7"/>
    <w:rsid w:val="005D35C4"/>
    <w:rsid w:val="005D765C"/>
    <w:rsid w:val="005E0857"/>
    <w:rsid w:val="005E55D7"/>
    <w:rsid w:val="005E6737"/>
    <w:rsid w:val="005F2724"/>
    <w:rsid w:val="005F434E"/>
    <w:rsid w:val="00601C14"/>
    <w:rsid w:val="0060726A"/>
    <w:rsid w:val="00614471"/>
    <w:rsid w:val="00621DEA"/>
    <w:rsid w:val="00624777"/>
    <w:rsid w:val="00625CAD"/>
    <w:rsid w:val="00626595"/>
    <w:rsid w:val="00633607"/>
    <w:rsid w:val="0063454D"/>
    <w:rsid w:val="00641E00"/>
    <w:rsid w:val="006434C6"/>
    <w:rsid w:val="00643AAC"/>
    <w:rsid w:val="0065245E"/>
    <w:rsid w:val="0065314E"/>
    <w:rsid w:val="00657231"/>
    <w:rsid w:val="00662BD7"/>
    <w:rsid w:val="0066645C"/>
    <w:rsid w:val="0066716D"/>
    <w:rsid w:val="00670322"/>
    <w:rsid w:val="00671C09"/>
    <w:rsid w:val="006725EE"/>
    <w:rsid w:val="00673D48"/>
    <w:rsid w:val="00673DAF"/>
    <w:rsid w:val="006777F9"/>
    <w:rsid w:val="00696524"/>
    <w:rsid w:val="006A3902"/>
    <w:rsid w:val="006A5B91"/>
    <w:rsid w:val="006A76A6"/>
    <w:rsid w:val="006B0BDB"/>
    <w:rsid w:val="006B5F9E"/>
    <w:rsid w:val="006C10AD"/>
    <w:rsid w:val="006C53CC"/>
    <w:rsid w:val="006C5426"/>
    <w:rsid w:val="006C66A6"/>
    <w:rsid w:val="006D1121"/>
    <w:rsid w:val="006D35DD"/>
    <w:rsid w:val="006D3BA1"/>
    <w:rsid w:val="006D433F"/>
    <w:rsid w:val="006D6000"/>
    <w:rsid w:val="006D6996"/>
    <w:rsid w:val="006E2410"/>
    <w:rsid w:val="006E4EE9"/>
    <w:rsid w:val="006E5042"/>
    <w:rsid w:val="007037E7"/>
    <w:rsid w:val="0070540B"/>
    <w:rsid w:val="0072385B"/>
    <w:rsid w:val="00723BB2"/>
    <w:rsid w:val="00727417"/>
    <w:rsid w:val="007305F9"/>
    <w:rsid w:val="00735059"/>
    <w:rsid w:val="007365F0"/>
    <w:rsid w:val="00736A43"/>
    <w:rsid w:val="007402BE"/>
    <w:rsid w:val="00741478"/>
    <w:rsid w:val="00742D70"/>
    <w:rsid w:val="00751A6A"/>
    <w:rsid w:val="007545EA"/>
    <w:rsid w:val="00760593"/>
    <w:rsid w:val="00760936"/>
    <w:rsid w:val="00762CE5"/>
    <w:rsid w:val="00766CC8"/>
    <w:rsid w:val="00767392"/>
    <w:rsid w:val="007717D4"/>
    <w:rsid w:val="00772DDB"/>
    <w:rsid w:val="00777EBB"/>
    <w:rsid w:val="00782030"/>
    <w:rsid w:val="00783019"/>
    <w:rsid w:val="007845E6"/>
    <w:rsid w:val="00786623"/>
    <w:rsid w:val="00795A7B"/>
    <w:rsid w:val="007A0220"/>
    <w:rsid w:val="007A1C3B"/>
    <w:rsid w:val="007A30FE"/>
    <w:rsid w:val="007B10DB"/>
    <w:rsid w:val="007B1F06"/>
    <w:rsid w:val="007B78F8"/>
    <w:rsid w:val="007C312F"/>
    <w:rsid w:val="007C3D6B"/>
    <w:rsid w:val="007C488B"/>
    <w:rsid w:val="007D39B0"/>
    <w:rsid w:val="007D670E"/>
    <w:rsid w:val="007E5A40"/>
    <w:rsid w:val="007F2D14"/>
    <w:rsid w:val="007F6CBF"/>
    <w:rsid w:val="008025C3"/>
    <w:rsid w:val="00803EE7"/>
    <w:rsid w:val="00804686"/>
    <w:rsid w:val="00805270"/>
    <w:rsid w:val="0080647C"/>
    <w:rsid w:val="00807728"/>
    <w:rsid w:val="008202DF"/>
    <w:rsid w:val="0082650C"/>
    <w:rsid w:val="008271C2"/>
    <w:rsid w:val="0083179A"/>
    <w:rsid w:val="008436EF"/>
    <w:rsid w:val="00845B6D"/>
    <w:rsid w:val="00845E81"/>
    <w:rsid w:val="008515AF"/>
    <w:rsid w:val="008519F5"/>
    <w:rsid w:val="00871DC6"/>
    <w:rsid w:val="0087319D"/>
    <w:rsid w:val="0087409F"/>
    <w:rsid w:val="00875227"/>
    <w:rsid w:val="0087672D"/>
    <w:rsid w:val="00880939"/>
    <w:rsid w:val="0088414C"/>
    <w:rsid w:val="008916E8"/>
    <w:rsid w:val="00892E46"/>
    <w:rsid w:val="008A1DEC"/>
    <w:rsid w:val="008A2C70"/>
    <w:rsid w:val="008A46D4"/>
    <w:rsid w:val="008A75FB"/>
    <w:rsid w:val="008B05EB"/>
    <w:rsid w:val="008B0632"/>
    <w:rsid w:val="008B108D"/>
    <w:rsid w:val="008B28ED"/>
    <w:rsid w:val="008B42A4"/>
    <w:rsid w:val="008B6527"/>
    <w:rsid w:val="008B711C"/>
    <w:rsid w:val="008C24DA"/>
    <w:rsid w:val="008D04E0"/>
    <w:rsid w:val="008D11EC"/>
    <w:rsid w:val="008D34CD"/>
    <w:rsid w:val="008D3D8F"/>
    <w:rsid w:val="008E1776"/>
    <w:rsid w:val="008E247E"/>
    <w:rsid w:val="008F1A76"/>
    <w:rsid w:val="008F3765"/>
    <w:rsid w:val="008F6B49"/>
    <w:rsid w:val="00906B63"/>
    <w:rsid w:val="009073A4"/>
    <w:rsid w:val="009151D1"/>
    <w:rsid w:val="009206E2"/>
    <w:rsid w:val="0092079E"/>
    <w:rsid w:val="00921163"/>
    <w:rsid w:val="00923430"/>
    <w:rsid w:val="00923DA4"/>
    <w:rsid w:val="00924D9B"/>
    <w:rsid w:val="009270E9"/>
    <w:rsid w:val="009320E8"/>
    <w:rsid w:val="0093282E"/>
    <w:rsid w:val="009343D0"/>
    <w:rsid w:val="00937853"/>
    <w:rsid w:val="00943381"/>
    <w:rsid w:val="00944792"/>
    <w:rsid w:val="00946C05"/>
    <w:rsid w:val="0095200A"/>
    <w:rsid w:val="009533EF"/>
    <w:rsid w:val="009542EA"/>
    <w:rsid w:val="009548C3"/>
    <w:rsid w:val="00960A56"/>
    <w:rsid w:val="00965D57"/>
    <w:rsid w:val="00971A19"/>
    <w:rsid w:val="009727F2"/>
    <w:rsid w:val="00972912"/>
    <w:rsid w:val="00972A04"/>
    <w:rsid w:val="009747F9"/>
    <w:rsid w:val="00975CC6"/>
    <w:rsid w:val="00982914"/>
    <w:rsid w:val="00983CCC"/>
    <w:rsid w:val="00987798"/>
    <w:rsid w:val="009955E5"/>
    <w:rsid w:val="009977BA"/>
    <w:rsid w:val="009A564B"/>
    <w:rsid w:val="009A584D"/>
    <w:rsid w:val="009C05A6"/>
    <w:rsid w:val="009C26BC"/>
    <w:rsid w:val="009C624C"/>
    <w:rsid w:val="009D07A1"/>
    <w:rsid w:val="009D2196"/>
    <w:rsid w:val="009D386E"/>
    <w:rsid w:val="009D5770"/>
    <w:rsid w:val="00A007F3"/>
    <w:rsid w:val="00A028DF"/>
    <w:rsid w:val="00A03177"/>
    <w:rsid w:val="00A03DE9"/>
    <w:rsid w:val="00A0425F"/>
    <w:rsid w:val="00A07386"/>
    <w:rsid w:val="00A076EF"/>
    <w:rsid w:val="00A101B1"/>
    <w:rsid w:val="00A102D9"/>
    <w:rsid w:val="00A1043F"/>
    <w:rsid w:val="00A11D47"/>
    <w:rsid w:val="00A144BF"/>
    <w:rsid w:val="00A17C42"/>
    <w:rsid w:val="00A21342"/>
    <w:rsid w:val="00A22CEC"/>
    <w:rsid w:val="00A23D1B"/>
    <w:rsid w:val="00A247C6"/>
    <w:rsid w:val="00A24D12"/>
    <w:rsid w:val="00A2559B"/>
    <w:rsid w:val="00A2668A"/>
    <w:rsid w:val="00A2705D"/>
    <w:rsid w:val="00A276C0"/>
    <w:rsid w:val="00A3030F"/>
    <w:rsid w:val="00A359F5"/>
    <w:rsid w:val="00A37BE8"/>
    <w:rsid w:val="00A40983"/>
    <w:rsid w:val="00A40E8D"/>
    <w:rsid w:val="00A473D0"/>
    <w:rsid w:val="00A52E84"/>
    <w:rsid w:val="00A539EA"/>
    <w:rsid w:val="00A54F45"/>
    <w:rsid w:val="00A555BC"/>
    <w:rsid w:val="00A569D4"/>
    <w:rsid w:val="00A67B4E"/>
    <w:rsid w:val="00A70670"/>
    <w:rsid w:val="00A706FB"/>
    <w:rsid w:val="00A74CDA"/>
    <w:rsid w:val="00A75DE7"/>
    <w:rsid w:val="00A80C69"/>
    <w:rsid w:val="00A904D6"/>
    <w:rsid w:val="00A9225D"/>
    <w:rsid w:val="00A961A8"/>
    <w:rsid w:val="00A977B2"/>
    <w:rsid w:val="00AA0666"/>
    <w:rsid w:val="00AA0DBF"/>
    <w:rsid w:val="00AA29F7"/>
    <w:rsid w:val="00AA3C23"/>
    <w:rsid w:val="00AA5835"/>
    <w:rsid w:val="00AA75D0"/>
    <w:rsid w:val="00AB2001"/>
    <w:rsid w:val="00AB3956"/>
    <w:rsid w:val="00AB5632"/>
    <w:rsid w:val="00AB5796"/>
    <w:rsid w:val="00AC1BCE"/>
    <w:rsid w:val="00AC35B3"/>
    <w:rsid w:val="00AC528E"/>
    <w:rsid w:val="00AD7966"/>
    <w:rsid w:val="00AF04FD"/>
    <w:rsid w:val="00AF488E"/>
    <w:rsid w:val="00AF7958"/>
    <w:rsid w:val="00AF7FCC"/>
    <w:rsid w:val="00B0034F"/>
    <w:rsid w:val="00B03DCA"/>
    <w:rsid w:val="00B15441"/>
    <w:rsid w:val="00B15E0D"/>
    <w:rsid w:val="00B239E8"/>
    <w:rsid w:val="00B26A59"/>
    <w:rsid w:val="00B3582A"/>
    <w:rsid w:val="00B35C49"/>
    <w:rsid w:val="00B361AC"/>
    <w:rsid w:val="00B37E2E"/>
    <w:rsid w:val="00B37F3C"/>
    <w:rsid w:val="00B40738"/>
    <w:rsid w:val="00B43308"/>
    <w:rsid w:val="00B4352C"/>
    <w:rsid w:val="00B4414F"/>
    <w:rsid w:val="00B44612"/>
    <w:rsid w:val="00B46DDA"/>
    <w:rsid w:val="00B51765"/>
    <w:rsid w:val="00B524A0"/>
    <w:rsid w:val="00B615CF"/>
    <w:rsid w:val="00B61C82"/>
    <w:rsid w:val="00B61DA6"/>
    <w:rsid w:val="00B67975"/>
    <w:rsid w:val="00B70AFD"/>
    <w:rsid w:val="00B7696F"/>
    <w:rsid w:val="00B82957"/>
    <w:rsid w:val="00B8538F"/>
    <w:rsid w:val="00B85F6D"/>
    <w:rsid w:val="00B86D08"/>
    <w:rsid w:val="00B87CD7"/>
    <w:rsid w:val="00B92921"/>
    <w:rsid w:val="00B9316F"/>
    <w:rsid w:val="00B974D1"/>
    <w:rsid w:val="00B97F64"/>
    <w:rsid w:val="00BA5A0A"/>
    <w:rsid w:val="00BB4612"/>
    <w:rsid w:val="00BC4869"/>
    <w:rsid w:val="00BC531C"/>
    <w:rsid w:val="00BD45AC"/>
    <w:rsid w:val="00BD4A2F"/>
    <w:rsid w:val="00BE514C"/>
    <w:rsid w:val="00BF40CA"/>
    <w:rsid w:val="00BF7200"/>
    <w:rsid w:val="00C10DEA"/>
    <w:rsid w:val="00C12988"/>
    <w:rsid w:val="00C148A4"/>
    <w:rsid w:val="00C22297"/>
    <w:rsid w:val="00C24F5F"/>
    <w:rsid w:val="00C271A6"/>
    <w:rsid w:val="00C31E2C"/>
    <w:rsid w:val="00C325E5"/>
    <w:rsid w:val="00C34CF2"/>
    <w:rsid w:val="00C35617"/>
    <w:rsid w:val="00C404D9"/>
    <w:rsid w:val="00C525F8"/>
    <w:rsid w:val="00C53529"/>
    <w:rsid w:val="00C614CE"/>
    <w:rsid w:val="00C71CE5"/>
    <w:rsid w:val="00C72B1B"/>
    <w:rsid w:val="00C73A72"/>
    <w:rsid w:val="00C73D04"/>
    <w:rsid w:val="00C76FE5"/>
    <w:rsid w:val="00C85553"/>
    <w:rsid w:val="00C85BCF"/>
    <w:rsid w:val="00C90C06"/>
    <w:rsid w:val="00C9181C"/>
    <w:rsid w:val="00C9206C"/>
    <w:rsid w:val="00C95995"/>
    <w:rsid w:val="00C963AF"/>
    <w:rsid w:val="00CB24C8"/>
    <w:rsid w:val="00CB3975"/>
    <w:rsid w:val="00CB4328"/>
    <w:rsid w:val="00CB728A"/>
    <w:rsid w:val="00CB7C80"/>
    <w:rsid w:val="00CC1062"/>
    <w:rsid w:val="00CC2EA7"/>
    <w:rsid w:val="00CC5FC8"/>
    <w:rsid w:val="00CC665C"/>
    <w:rsid w:val="00CC766E"/>
    <w:rsid w:val="00CD303B"/>
    <w:rsid w:val="00CD366A"/>
    <w:rsid w:val="00CD4D7A"/>
    <w:rsid w:val="00CD6722"/>
    <w:rsid w:val="00CF5F5F"/>
    <w:rsid w:val="00CF7DEF"/>
    <w:rsid w:val="00D004AD"/>
    <w:rsid w:val="00D00EEC"/>
    <w:rsid w:val="00D07B64"/>
    <w:rsid w:val="00D21EF2"/>
    <w:rsid w:val="00D34121"/>
    <w:rsid w:val="00D4250A"/>
    <w:rsid w:val="00D62058"/>
    <w:rsid w:val="00D62C20"/>
    <w:rsid w:val="00D66501"/>
    <w:rsid w:val="00D70F24"/>
    <w:rsid w:val="00D714E6"/>
    <w:rsid w:val="00D71A55"/>
    <w:rsid w:val="00D85314"/>
    <w:rsid w:val="00D92124"/>
    <w:rsid w:val="00D9380F"/>
    <w:rsid w:val="00DA1A33"/>
    <w:rsid w:val="00DA1EA9"/>
    <w:rsid w:val="00DB0FAA"/>
    <w:rsid w:val="00DB214E"/>
    <w:rsid w:val="00DB3754"/>
    <w:rsid w:val="00DB375E"/>
    <w:rsid w:val="00DB61EF"/>
    <w:rsid w:val="00DC2FB3"/>
    <w:rsid w:val="00DC5C19"/>
    <w:rsid w:val="00DC5FA3"/>
    <w:rsid w:val="00DC6360"/>
    <w:rsid w:val="00DC6822"/>
    <w:rsid w:val="00DD4566"/>
    <w:rsid w:val="00DD46C8"/>
    <w:rsid w:val="00DE224E"/>
    <w:rsid w:val="00DE3D0E"/>
    <w:rsid w:val="00DE622D"/>
    <w:rsid w:val="00DE7056"/>
    <w:rsid w:val="00DE75B6"/>
    <w:rsid w:val="00DF53AE"/>
    <w:rsid w:val="00E00202"/>
    <w:rsid w:val="00E0074F"/>
    <w:rsid w:val="00E12476"/>
    <w:rsid w:val="00E13F08"/>
    <w:rsid w:val="00E1504E"/>
    <w:rsid w:val="00E21F81"/>
    <w:rsid w:val="00E24AAD"/>
    <w:rsid w:val="00E3419F"/>
    <w:rsid w:val="00E430B2"/>
    <w:rsid w:val="00E53D52"/>
    <w:rsid w:val="00E53F0C"/>
    <w:rsid w:val="00E540AD"/>
    <w:rsid w:val="00E54B5D"/>
    <w:rsid w:val="00E54D7E"/>
    <w:rsid w:val="00E62478"/>
    <w:rsid w:val="00E64BCC"/>
    <w:rsid w:val="00E739E6"/>
    <w:rsid w:val="00E76619"/>
    <w:rsid w:val="00E76CB4"/>
    <w:rsid w:val="00E8003C"/>
    <w:rsid w:val="00E8471D"/>
    <w:rsid w:val="00E87635"/>
    <w:rsid w:val="00E87FAD"/>
    <w:rsid w:val="00E9763C"/>
    <w:rsid w:val="00EA4168"/>
    <w:rsid w:val="00EA7D72"/>
    <w:rsid w:val="00EB7F78"/>
    <w:rsid w:val="00EC0228"/>
    <w:rsid w:val="00EC4857"/>
    <w:rsid w:val="00EC6185"/>
    <w:rsid w:val="00EC744A"/>
    <w:rsid w:val="00EC7D62"/>
    <w:rsid w:val="00ED0B1A"/>
    <w:rsid w:val="00ED4F81"/>
    <w:rsid w:val="00ED58CC"/>
    <w:rsid w:val="00EE1C15"/>
    <w:rsid w:val="00EF0DD6"/>
    <w:rsid w:val="00EF16DF"/>
    <w:rsid w:val="00EF1750"/>
    <w:rsid w:val="00EF1FEA"/>
    <w:rsid w:val="00EF46BE"/>
    <w:rsid w:val="00EF5304"/>
    <w:rsid w:val="00EF71FC"/>
    <w:rsid w:val="00F01F69"/>
    <w:rsid w:val="00F03FB8"/>
    <w:rsid w:val="00F055FB"/>
    <w:rsid w:val="00F07E66"/>
    <w:rsid w:val="00F125E3"/>
    <w:rsid w:val="00F13FD7"/>
    <w:rsid w:val="00F173FF"/>
    <w:rsid w:val="00F17A75"/>
    <w:rsid w:val="00F215F9"/>
    <w:rsid w:val="00F22B42"/>
    <w:rsid w:val="00F2371C"/>
    <w:rsid w:val="00F24F87"/>
    <w:rsid w:val="00F270B2"/>
    <w:rsid w:val="00F359EA"/>
    <w:rsid w:val="00F35C52"/>
    <w:rsid w:val="00F37532"/>
    <w:rsid w:val="00F4062A"/>
    <w:rsid w:val="00F450AB"/>
    <w:rsid w:val="00F54723"/>
    <w:rsid w:val="00F6335A"/>
    <w:rsid w:val="00F661AE"/>
    <w:rsid w:val="00F67E0B"/>
    <w:rsid w:val="00F76D33"/>
    <w:rsid w:val="00F77A83"/>
    <w:rsid w:val="00F80170"/>
    <w:rsid w:val="00F81BAD"/>
    <w:rsid w:val="00F85018"/>
    <w:rsid w:val="00F94418"/>
    <w:rsid w:val="00F96A36"/>
    <w:rsid w:val="00F97A28"/>
    <w:rsid w:val="00F97C13"/>
    <w:rsid w:val="00FA11AE"/>
    <w:rsid w:val="00FB2DD7"/>
    <w:rsid w:val="00FB3260"/>
    <w:rsid w:val="00FB495E"/>
    <w:rsid w:val="00FB75FA"/>
    <w:rsid w:val="00FB7765"/>
    <w:rsid w:val="00FC6E04"/>
    <w:rsid w:val="00FD064D"/>
    <w:rsid w:val="00FD0989"/>
    <w:rsid w:val="00FD75AF"/>
    <w:rsid w:val="00FE2AA4"/>
    <w:rsid w:val="00FE2FE5"/>
    <w:rsid w:val="00FE3952"/>
    <w:rsid w:val="00FE7570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F4AD"/>
  <w15:docId w15:val="{FD8386AE-97B0-44FA-9BEF-4343607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750"/>
  </w:style>
  <w:style w:type="paragraph" w:styleId="1">
    <w:name w:val="heading 1"/>
    <w:basedOn w:val="a"/>
    <w:link w:val="10"/>
    <w:uiPriority w:val="9"/>
    <w:qFormat/>
    <w:rsid w:val="002E6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table" w:styleId="ad">
    <w:name w:val="Table Grid"/>
    <w:basedOn w:val="a1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87635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rsid w:val="00A569D4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69D4"/>
    <w:pPr>
      <w:widowControl w:val="0"/>
      <w:shd w:val="clear" w:color="auto" w:fill="FFFFFF"/>
      <w:spacing w:after="0" w:line="317" w:lineRule="exact"/>
      <w:ind w:hanging="120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character" w:customStyle="1" w:styleId="ae">
    <w:name w:val="Основной текст_"/>
    <w:basedOn w:val="a0"/>
    <w:link w:val="21"/>
    <w:rsid w:val="00A569D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A569D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11">
    <w:name w:val="Основной текст1"/>
    <w:basedOn w:val="ae"/>
    <w:rsid w:val="00A56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e"/>
    <w:rsid w:val="00A56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11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520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9955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95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99"/>
    <w:qFormat/>
    <w:rsid w:val="009955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0"/>
    <w:rsid w:val="009955E5"/>
    <w:rPr>
      <w:rFonts w:ascii="Sylfaen" w:eastAsia="Times New Roman" w:hAnsi="Sylfaen" w:cs="Sylfaen"/>
      <w:b/>
      <w:bCs/>
      <w:spacing w:val="9"/>
      <w:sz w:val="20"/>
      <w:szCs w:val="20"/>
      <w:u w:val="none"/>
      <w:lang w:eastAsia="ru-RU"/>
    </w:rPr>
  </w:style>
  <w:style w:type="character" w:customStyle="1" w:styleId="3">
    <w:name w:val="Основной текст (3)_"/>
    <w:basedOn w:val="a0"/>
    <w:link w:val="30"/>
    <w:locked/>
    <w:rsid w:val="009955E5"/>
    <w:rPr>
      <w:rFonts w:cs="Times New Roman"/>
      <w:spacing w:val="9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5E5"/>
    <w:pPr>
      <w:widowControl w:val="0"/>
      <w:shd w:val="clear" w:color="auto" w:fill="FFFFFF"/>
      <w:spacing w:after="120" w:line="240" w:lineRule="atLeast"/>
    </w:pPr>
    <w:rPr>
      <w:rFonts w:cs="Times New Roman"/>
      <w:spacing w:val="9"/>
      <w:sz w:val="8"/>
      <w:szCs w:val="8"/>
    </w:rPr>
  </w:style>
  <w:style w:type="character" w:customStyle="1" w:styleId="22">
    <w:name w:val="Основной текст (2) + Не полужирный"/>
    <w:aliases w:val="Интервал 0 pt1"/>
    <w:basedOn w:val="2"/>
    <w:uiPriority w:val="99"/>
    <w:rsid w:val="009955E5"/>
    <w:rPr>
      <w:rFonts w:ascii="Sylfaen" w:eastAsia="Times New Roman" w:hAnsi="Sylfaen" w:cs="Sylfaen"/>
      <w:b/>
      <w:bCs/>
      <w:spacing w:val="5"/>
      <w:sz w:val="23"/>
      <w:szCs w:val="23"/>
      <w:shd w:val="clear" w:color="auto" w:fill="FFFFFF"/>
    </w:rPr>
  </w:style>
  <w:style w:type="character" w:customStyle="1" w:styleId="af3">
    <w:name w:val="Колонтитул_"/>
    <w:basedOn w:val="a0"/>
    <w:link w:val="af4"/>
    <w:uiPriority w:val="99"/>
    <w:locked/>
    <w:rsid w:val="009955E5"/>
    <w:rPr>
      <w:rFonts w:ascii="Sylfaen" w:hAnsi="Sylfaen" w:cs="Sylfaen"/>
      <w:spacing w:val="4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9955E5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4"/>
      <w:sz w:val="20"/>
      <w:szCs w:val="20"/>
    </w:rPr>
  </w:style>
  <w:style w:type="character" w:customStyle="1" w:styleId="FontStyle13">
    <w:name w:val="Font Style13"/>
    <w:basedOn w:val="a0"/>
    <w:rsid w:val="009955E5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A24D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24D12"/>
  </w:style>
  <w:style w:type="character" w:customStyle="1" w:styleId="85pt">
    <w:name w:val="Основной текст + 8;5 pt"/>
    <w:basedOn w:val="ae"/>
    <w:rsid w:val="00A11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A11D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11D4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A11D47"/>
    <w:pPr>
      <w:widowControl w:val="0"/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11D47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1D47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A11D47"/>
    <w:pPr>
      <w:widowControl w:val="0"/>
      <w:shd w:val="clear" w:color="auto" w:fill="FFFFFF"/>
      <w:spacing w:before="180" w:after="18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E6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6">
    <w:name w:val="Normal (Web)"/>
    <w:basedOn w:val="a"/>
    <w:uiPriority w:val="99"/>
    <w:unhideWhenUsed/>
    <w:rsid w:val="0044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6881-0433-4D4A-B2DC-07EDA2E1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OTD-BUDGET</cp:lastModifiedBy>
  <cp:revision>9</cp:revision>
  <cp:lastPrinted>2024-11-15T03:00:00Z</cp:lastPrinted>
  <dcterms:created xsi:type="dcterms:W3CDTF">2024-11-13T18:07:00Z</dcterms:created>
  <dcterms:modified xsi:type="dcterms:W3CDTF">2024-11-15T03:00:00Z</dcterms:modified>
</cp:coreProperties>
</file>